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06" w:rsidRPr="00A26803" w:rsidRDefault="00ED0706" w:rsidP="00050F50">
      <w:pPr>
        <w:pStyle w:val="Standard"/>
        <w:widowControl/>
        <w:spacing w:line="276" w:lineRule="auto"/>
        <w:jc w:val="right"/>
        <w:rPr>
          <w:rFonts w:ascii="Tahoma" w:hAnsi="Tahoma" w:cs="Tahoma"/>
          <w:sz w:val="22"/>
          <w:szCs w:val="22"/>
        </w:rPr>
      </w:pPr>
      <w:bookmarkStart w:id="0" w:name="_GoBack"/>
      <w:bookmarkEnd w:id="0"/>
      <w:r w:rsidRPr="00A26803">
        <w:rPr>
          <w:rFonts w:ascii="Tahoma" w:eastAsia="Tahoma" w:hAnsi="Tahoma" w:cs="Tahoma"/>
          <w:sz w:val="22"/>
          <w:szCs w:val="22"/>
        </w:rPr>
        <w:t>Asunción,         de                         de 202</w:t>
      </w:r>
      <w:r w:rsidR="00231E7B" w:rsidRPr="00A26803">
        <w:rPr>
          <w:rFonts w:ascii="Tahoma" w:eastAsia="Tahoma" w:hAnsi="Tahoma" w:cs="Tahoma"/>
          <w:sz w:val="22"/>
          <w:szCs w:val="22"/>
        </w:rPr>
        <w:t>1</w:t>
      </w:r>
      <w:r w:rsidRPr="00A26803">
        <w:rPr>
          <w:rFonts w:ascii="Tahoma" w:eastAsia="Tahoma" w:hAnsi="Tahoma" w:cs="Tahoma"/>
          <w:sz w:val="22"/>
          <w:szCs w:val="22"/>
        </w:rPr>
        <w:t>.</w:t>
      </w:r>
    </w:p>
    <w:p w:rsidR="00ED0706" w:rsidRPr="00A26803" w:rsidRDefault="00ED0706" w:rsidP="00050F50">
      <w:pPr>
        <w:pStyle w:val="Standard"/>
        <w:widowControl/>
        <w:spacing w:line="276" w:lineRule="auto"/>
        <w:jc w:val="both"/>
        <w:rPr>
          <w:rFonts w:ascii="Tahoma" w:eastAsia="Tahoma" w:hAnsi="Tahoma" w:cs="Tahoma"/>
          <w:sz w:val="22"/>
          <w:szCs w:val="22"/>
        </w:rPr>
      </w:pPr>
    </w:p>
    <w:p w:rsidR="00ED0706" w:rsidRPr="00A26803" w:rsidRDefault="00ED0706" w:rsidP="00050F50">
      <w:pPr>
        <w:pStyle w:val="Standard"/>
        <w:widowControl/>
        <w:spacing w:line="276" w:lineRule="auto"/>
        <w:jc w:val="both"/>
        <w:rPr>
          <w:rFonts w:ascii="Tahoma" w:eastAsia="Tahoma" w:hAnsi="Tahoma" w:cs="Tahoma"/>
          <w:b/>
          <w:sz w:val="22"/>
          <w:szCs w:val="22"/>
        </w:rPr>
      </w:pPr>
      <w:r w:rsidRPr="00A26803">
        <w:rPr>
          <w:rFonts w:ascii="Tahoma" w:eastAsia="Tahoma" w:hAnsi="Tahoma" w:cs="Tahoma"/>
          <w:b/>
          <w:sz w:val="22"/>
          <w:szCs w:val="22"/>
        </w:rPr>
        <w:t>VISTO:</w:t>
      </w:r>
    </w:p>
    <w:p w:rsidR="00ED0706" w:rsidRPr="00A26803" w:rsidRDefault="00ED0706" w:rsidP="00050F50">
      <w:pPr>
        <w:pStyle w:val="Standard"/>
        <w:widowControl/>
        <w:spacing w:line="276" w:lineRule="auto"/>
        <w:jc w:val="both"/>
        <w:rPr>
          <w:rFonts w:ascii="Tahoma" w:eastAsia="Tahoma" w:hAnsi="Tahoma" w:cs="Tahoma"/>
          <w:sz w:val="22"/>
          <w:szCs w:val="22"/>
        </w:rPr>
      </w:pPr>
    </w:p>
    <w:p w:rsidR="00ED0706" w:rsidRPr="00A26803" w:rsidRDefault="00ED0706" w:rsidP="00AC07B2">
      <w:pPr>
        <w:pStyle w:val="Standard"/>
        <w:widowControl/>
        <w:spacing w:line="276" w:lineRule="auto"/>
        <w:jc w:val="both"/>
        <w:rPr>
          <w:rFonts w:ascii="Tahoma" w:hAnsi="Tahoma" w:cs="Tahoma"/>
          <w:sz w:val="22"/>
          <w:szCs w:val="22"/>
        </w:rPr>
      </w:pPr>
      <w:r w:rsidRPr="00A26803">
        <w:rPr>
          <w:rFonts w:ascii="Tahoma" w:eastAsia="Tahoma" w:hAnsi="Tahoma" w:cs="Tahoma"/>
          <w:sz w:val="22"/>
          <w:szCs w:val="22"/>
        </w:rPr>
        <w:tab/>
      </w:r>
      <w:r w:rsidRPr="00A26803">
        <w:rPr>
          <w:rFonts w:ascii="Tahoma" w:hAnsi="Tahoma" w:cs="Tahoma"/>
          <w:sz w:val="22"/>
          <w:szCs w:val="22"/>
        </w:rPr>
        <w:t>La Nota D.N.V.S./DG N°  /202</w:t>
      </w:r>
      <w:r w:rsidR="00231E7B" w:rsidRPr="00A26803">
        <w:rPr>
          <w:rFonts w:ascii="Tahoma" w:hAnsi="Tahoma" w:cs="Tahoma"/>
          <w:sz w:val="22"/>
          <w:szCs w:val="22"/>
        </w:rPr>
        <w:t>1</w:t>
      </w:r>
      <w:r w:rsidRPr="00A26803">
        <w:rPr>
          <w:rFonts w:ascii="Tahoma" w:hAnsi="Tahoma" w:cs="Tahoma"/>
          <w:sz w:val="22"/>
          <w:szCs w:val="22"/>
        </w:rPr>
        <w:t>, de fecha   de  de 202</w:t>
      </w:r>
      <w:r w:rsidR="00492B72" w:rsidRPr="00A26803">
        <w:rPr>
          <w:rFonts w:ascii="Tahoma" w:hAnsi="Tahoma" w:cs="Tahoma"/>
          <w:sz w:val="22"/>
          <w:szCs w:val="22"/>
        </w:rPr>
        <w:t>1</w:t>
      </w:r>
      <w:r w:rsidRPr="00A26803">
        <w:rPr>
          <w:rFonts w:ascii="Tahoma" w:hAnsi="Tahoma" w:cs="Tahoma"/>
          <w:sz w:val="22"/>
          <w:szCs w:val="22"/>
        </w:rPr>
        <w:t xml:space="preserve">, por la cual la Dirección Nacional de Vigilancia Sanitaria solicita </w:t>
      </w:r>
      <w:r w:rsidR="000C7558" w:rsidRPr="00A26803">
        <w:rPr>
          <w:rFonts w:ascii="Tahoma" w:hAnsi="Tahoma" w:cs="Tahoma"/>
          <w:sz w:val="22"/>
          <w:szCs w:val="22"/>
        </w:rPr>
        <w:t>se reglamente</w:t>
      </w:r>
      <w:r w:rsidR="00AC07B2" w:rsidRPr="00A26803">
        <w:rPr>
          <w:rFonts w:ascii="Tahoma" w:hAnsi="Tahoma" w:cs="Tahoma"/>
          <w:sz w:val="22"/>
          <w:szCs w:val="22"/>
        </w:rPr>
        <w:t>n los requisitos técnicos para estudios de estabilidad de productos para la salud considerados productos de higiene personal, cosméticos y perfumes</w:t>
      </w:r>
      <w:r w:rsidR="000C7558" w:rsidRPr="00A26803">
        <w:rPr>
          <w:rFonts w:ascii="Tahoma" w:eastAsia="Tahoma" w:hAnsi="Tahoma" w:cs="Tahoma"/>
          <w:sz w:val="22"/>
          <w:szCs w:val="22"/>
        </w:rPr>
        <w:t>,</w:t>
      </w:r>
    </w:p>
    <w:p w:rsidR="00ED0706" w:rsidRPr="00A26803" w:rsidRDefault="00ED0706" w:rsidP="00050F50">
      <w:pPr>
        <w:pStyle w:val="Standard"/>
        <w:widowControl/>
        <w:spacing w:line="276" w:lineRule="auto"/>
        <w:jc w:val="both"/>
        <w:rPr>
          <w:rFonts w:ascii="Tahoma" w:eastAsia="Tahoma" w:hAnsi="Tahoma" w:cs="Tahoma"/>
          <w:sz w:val="22"/>
          <w:szCs w:val="22"/>
        </w:rPr>
      </w:pPr>
    </w:p>
    <w:p w:rsidR="00ED0706" w:rsidRPr="00A26803" w:rsidRDefault="00ED0706" w:rsidP="00050F50">
      <w:pPr>
        <w:pStyle w:val="Standard"/>
        <w:widowControl/>
        <w:spacing w:line="276" w:lineRule="auto"/>
        <w:jc w:val="both"/>
        <w:rPr>
          <w:rFonts w:ascii="Tahoma" w:eastAsia="Tahoma" w:hAnsi="Tahoma" w:cs="Tahoma"/>
          <w:b/>
          <w:sz w:val="22"/>
          <w:szCs w:val="22"/>
        </w:rPr>
      </w:pPr>
      <w:r w:rsidRPr="00A26803">
        <w:rPr>
          <w:rFonts w:ascii="Tahoma" w:eastAsia="Tahoma" w:hAnsi="Tahoma" w:cs="Tahoma"/>
          <w:b/>
          <w:sz w:val="22"/>
          <w:szCs w:val="22"/>
        </w:rPr>
        <w:t>CONSIDERANDO:</w:t>
      </w:r>
    </w:p>
    <w:p w:rsidR="00ED0706" w:rsidRPr="00A26803" w:rsidRDefault="00ED0706" w:rsidP="00050F50">
      <w:pPr>
        <w:pStyle w:val="Standard"/>
        <w:widowControl/>
        <w:spacing w:line="276" w:lineRule="auto"/>
        <w:jc w:val="both"/>
        <w:rPr>
          <w:rFonts w:ascii="Tahoma" w:eastAsia="Tahoma" w:hAnsi="Tahoma" w:cs="Tahoma"/>
          <w:b/>
          <w:sz w:val="22"/>
          <w:szCs w:val="22"/>
        </w:rPr>
      </w:pPr>
    </w:p>
    <w:p w:rsidR="00AC07B2" w:rsidRPr="00A26803" w:rsidRDefault="00AC07B2" w:rsidP="00050F50">
      <w:pPr>
        <w:pStyle w:val="NormalWeb"/>
        <w:spacing w:before="0" w:after="0" w:line="276" w:lineRule="auto"/>
        <w:ind w:firstLine="720"/>
        <w:jc w:val="both"/>
        <w:rPr>
          <w:rStyle w:val="Textoennegrita"/>
          <w:rFonts w:ascii="Tahoma" w:hAnsi="Tahoma" w:cs="Tahoma"/>
          <w:b w:val="0"/>
          <w:color w:val="auto"/>
          <w:sz w:val="22"/>
          <w:szCs w:val="22"/>
        </w:rPr>
      </w:pPr>
      <w:r w:rsidRPr="00A26803">
        <w:rPr>
          <w:rStyle w:val="Textoennegrita"/>
          <w:rFonts w:ascii="Tahoma" w:hAnsi="Tahoma" w:cs="Tahoma"/>
          <w:b w:val="0"/>
          <w:color w:val="auto"/>
          <w:sz w:val="22"/>
          <w:szCs w:val="22"/>
        </w:rPr>
        <w:t xml:space="preserve">Que el Artículo 238, Numeral 3), de la Constitución Nacional faculta a quien ejerce la Presidencia de la República a reglamentar y controlar el cumplimiento de las leyes. Que la Constitución Nacional, en el Artículo 72, </w:t>
      </w:r>
      <w:r w:rsidR="00A04E7A" w:rsidRPr="00A26803">
        <w:rPr>
          <w:rStyle w:val="Textoennegrita"/>
          <w:rFonts w:ascii="Tahoma" w:hAnsi="Tahoma" w:cs="Tahoma"/>
          <w:b w:val="0"/>
          <w:color w:val="auto"/>
          <w:sz w:val="22"/>
          <w:szCs w:val="22"/>
        </w:rPr>
        <w:t>“</w:t>
      </w:r>
      <w:r w:rsidRPr="00A26803">
        <w:rPr>
          <w:rStyle w:val="Textoennegrita"/>
          <w:rFonts w:ascii="Tahoma" w:hAnsi="Tahoma" w:cs="Tahoma"/>
          <w:b w:val="0"/>
          <w:color w:val="auto"/>
          <w:sz w:val="22"/>
          <w:szCs w:val="22"/>
        </w:rPr>
        <w:t>Del Control de Calidad</w:t>
      </w:r>
      <w:r w:rsidR="00A04E7A" w:rsidRPr="00A26803">
        <w:rPr>
          <w:rStyle w:val="Textoennegrita"/>
          <w:rFonts w:ascii="Tahoma" w:hAnsi="Tahoma" w:cs="Tahoma"/>
          <w:b w:val="0"/>
          <w:color w:val="auto"/>
          <w:sz w:val="22"/>
          <w:szCs w:val="22"/>
        </w:rPr>
        <w:t>”</w:t>
      </w:r>
      <w:r w:rsidRPr="00A26803">
        <w:rPr>
          <w:rStyle w:val="Textoennegrita"/>
          <w:rFonts w:ascii="Tahoma" w:hAnsi="Tahoma" w:cs="Tahoma"/>
          <w:b w:val="0"/>
          <w:color w:val="auto"/>
          <w:sz w:val="22"/>
          <w:szCs w:val="22"/>
        </w:rPr>
        <w:t xml:space="preserve">, establece: </w:t>
      </w:r>
      <w:r w:rsidR="00A04E7A" w:rsidRPr="00A26803">
        <w:rPr>
          <w:rStyle w:val="Textoennegrita"/>
          <w:rFonts w:ascii="Tahoma" w:hAnsi="Tahoma" w:cs="Tahoma"/>
          <w:b w:val="0"/>
          <w:color w:val="auto"/>
          <w:sz w:val="22"/>
          <w:szCs w:val="22"/>
        </w:rPr>
        <w:t>“</w:t>
      </w:r>
      <w:r w:rsidRPr="00A26803">
        <w:rPr>
          <w:rStyle w:val="Textoennegrita"/>
          <w:rFonts w:ascii="Tahoma" w:hAnsi="Tahoma" w:cs="Tahoma"/>
          <w:b w:val="0"/>
          <w:color w:val="auto"/>
          <w:sz w:val="22"/>
          <w:szCs w:val="22"/>
        </w:rPr>
        <w:t>[...] El Estado velará por el control de calidad de los productos alimenticios, químicos, farmacéuticos y biológicos, en las etapas de producción, importación y comercialización</w:t>
      </w:r>
      <w:r w:rsidR="00A04E7A" w:rsidRPr="00A26803">
        <w:rPr>
          <w:rStyle w:val="Textoennegrita"/>
          <w:rFonts w:ascii="Tahoma" w:hAnsi="Tahoma" w:cs="Tahoma"/>
          <w:b w:val="0"/>
          <w:color w:val="auto"/>
          <w:sz w:val="22"/>
          <w:szCs w:val="22"/>
        </w:rPr>
        <w:t>”</w:t>
      </w:r>
      <w:r w:rsidRPr="00A26803">
        <w:rPr>
          <w:rStyle w:val="Textoennegrita"/>
          <w:rFonts w:ascii="Tahoma" w:hAnsi="Tahoma" w:cs="Tahoma"/>
          <w:b w:val="0"/>
          <w:color w:val="auto"/>
          <w:sz w:val="22"/>
          <w:szCs w:val="22"/>
        </w:rPr>
        <w:t xml:space="preserve">. </w:t>
      </w:r>
    </w:p>
    <w:p w:rsidR="00AC07B2" w:rsidRPr="00A26803" w:rsidRDefault="00AC07B2" w:rsidP="00050F50">
      <w:pPr>
        <w:pStyle w:val="NormalWeb"/>
        <w:spacing w:before="0" w:after="0" w:line="276" w:lineRule="auto"/>
        <w:ind w:firstLine="720"/>
        <w:jc w:val="both"/>
        <w:rPr>
          <w:rStyle w:val="Textoennegrita"/>
          <w:rFonts w:ascii="Tahoma" w:hAnsi="Tahoma" w:cs="Tahoma"/>
          <w:b w:val="0"/>
          <w:bCs w:val="0"/>
          <w:color w:val="auto"/>
          <w:sz w:val="22"/>
          <w:szCs w:val="22"/>
        </w:rPr>
      </w:pPr>
    </w:p>
    <w:p w:rsidR="00ED0706" w:rsidRPr="00A26803" w:rsidRDefault="00ED0706" w:rsidP="00050F50">
      <w:pPr>
        <w:pStyle w:val="NormalWeb"/>
        <w:spacing w:before="0" w:after="0" w:line="276" w:lineRule="auto"/>
        <w:ind w:firstLine="720"/>
        <w:jc w:val="both"/>
        <w:rPr>
          <w:rFonts w:ascii="Tahoma" w:hAnsi="Tahoma" w:cs="Tahoma"/>
          <w:color w:val="auto"/>
          <w:sz w:val="22"/>
          <w:szCs w:val="22"/>
        </w:rPr>
      </w:pPr>
      <w:r w:rsidRPr="00A26803">
        <w:rPr>
          <w:rStyle w:val="Textoennegrita"/>
          <w:rFonts w:ascii="Tahoma" w:hAnsi="Tahoma" w:cs="Tahoma"/>
          <w:b w:val="0"/>
          <w:bCs w:val="0"/>
          <w:color w:val="auto"/>
          <w:sz w:val="22"/>
          <w:szCs w:val="22"/>
        </w:rPr>
        <w:t xml:space="preserve">Que, </w:t>
      </w:r>
      <w:r w:rsidR="00553C7B" w:rsidRPr="00A26803">
        <w:rPr>
          <w:rFonts w:ascii="Tahoma" w:hAnsi="Tahoma" w:cs="Tahoma"/>
          <w:color w:val="auto"/>
          <w:sz w:val="22"/>
          <w:szCs w:val="22"/>
        </w:rPr>
        <w:t xml:space="preserve">la Ley Nº 836/80, </w:t>
      </w:r>
      <w:r w:rsidRPr="00A26803">
        <w:rPr>
          <w:rStyle w:val="Textoennegrita"/>
          <w:rFonts w:ascii="Tahoma" w:hAnsi="Tahoma" w:cs="Tahoma"/>
          <w:b w:val="0"/>
          <w:bCs w:val="0"/>
          <w:color w:val="auto"/>
          <w:sz w:val="22"/>
          <w:szCs w:val="22"/>
        </w:rPr>
        <w:t>Código Sanitario en su Artículo 239, establece que e</w:t>
      </w:r>
      <w:r w:rsidRPr="00A26803">
        <w:rPr>
          <w:rFonts w:ascii="Tahoma" w:hAnsi="Tahoma" w:cs="Tahoma"/>
          <w:color w:val="auto"/>
          <w:sz w:val="22"/>
          <w:szCs w:val="22"/>
        </w:rPr>
        <w:t>l Ministerio reglamentará la habilitación y el registro de los establecimientos de salud y los controlará.</w:t>
      </w:r>
    </w:p>
    <w:p w:rsidR="00ED0706" w:rsidRPr="00A26803" w:rsidRDefault="00ED0706" w:rsidP="00050F50">
      <w:pPr>
        <w:spacing w:line="276" w:lineRule="auto"/>
        <w:jc w:val="both"/>
        <w:rPr>
          <w:rFonts w:ascii="Tahoma" w:hAnsi="Tahoma" w:cs="Tahoma"/>
          <w:sz w:val="22"/>
          <w:szCs w:val="22"/>
        </w:rPr>
      </w:pPr>
      <w:r w:rsidRPr="00A26803">
        <w:rPr>
          <w:rFonts w:ascii="Tahoma" w:hAnsi="Tahoma" w:cs="Tahoma"/>
          <w:sz w:val="22"/>
          <w:szCs w:val="22"/>
        </w:rPr>
        <w:tab/>
      </w:r>
    </w:p>
    <w:p w:rsidR="00ED0706" w:rsidRPr="00A26803" w:rsidRDefault="00ED0706" w:rsidP="00050F50">
      <w:pPr>
        <w:tabs>
          <w:tab w:val="left" w:pos="0"/>
        </w:tabs>
        <w:spacing w:line="276" w:lineRule="auto"/>
        <w:jc w:val="both"/>
        <w:rPr>
          <w:rFonts w:ascii="Tahoma" w:hAnsi="Tahoma" w:cs="Tahoma"/>
          <w:i/>
          <w:sz w:val="22"/>
          <w:szCs w:val="22"/>
        </w:rPr>
      </w:pPr>
      <w:r w:rsidRPr="00A26803">
        <w:rPr>
          <w:rFonts w:ascii="Tahoma" w:hAnsi="Tahoma" w:cs="Tahoma"/>
          <w:sz w:val="22"/>
          <w:szCs w:val="22"/>
        </w:rPr>
        <w:tab/>
        <w:t>Que</w:t>
      </w:r>
      <w:r w:rsidR="00553C7B" w:rsidRPr="00A26803">
        <w:rPr>
          <w:rFonts w:ascii="Tahoma" w:hAnsi="Tahoma" w:cs="Tahoma"/>
          <w:sz w:val="22"/>
          <w:szCs w:val="22"/>
        </w:rPr>
        <w:t xml:space="preserve">, el </w:t>
      </w:r>
      <w:r w:rsidRPr="00A26803">
        <w:rPr>
          <w:rFonts w:ascii="Tahoma" w:hAnsi="Tahoma" w:cs="Tahoma"/>
          <w:sz w:val="22"/>
          <w:szCs w:val="22"/>
        </w:rPr>
        <w:t xml:space="preserve">Código Sanitario, en su artículo 3º dispone: </w:t>
      </w:r>
      <w:r w:rsidRPr="00A26803">
        <w:rPr>
          <w:rFonts w:ascii="Tahoma" w:hAnsi="Tahoma" w:cs="Tahoma"/>
          <w:i/>
          <w:sz w:val="22"/>
          <w:szCs w:val="22"/>
        </w:rPr>
        <w:t>"El Ministerio de Salud Pública y Bienestar Social, que en adelante se denominará el Ministerio, es la más alta dependencia del Estado competente en materia de salud y aspectos fundamentales del bienestar social".</w:t>
      </w:r>
    </w:p>
    <w:p w:rsidR="00ED0706" w:rsidRPr="00A26803" w:rsidRDefault="00ED0706" w:rsidP="00050F50">
      <w:pPr>
        <w:spacing w:line="276" w:lineRule="auto"/>
        <w:jc w:val="both"/>
        <w:rPr>
          <w:rFonts w:ascii="Tahoma" w:hAnsi="Tahoma" w:cs="Tahoma"/>
          <w:sz w:val="22"/>
          <w:szCs w:val="22"/>
        </w:rPr>
      </w:pPr>
      <w:r w:rsidRPr="00A26803">
        <w:rPr>
          <w:rFonts w:ascii="Tahoma" w:hAnsi="Tahoma" w:cs="Tahoma"/>
          <w:sz w:val="22"/>
          <w:szCs w:val="22"/>
        </w:rPr>
        <w:tab/>
      </w:r>
    </w:p>
    <w:p w:rsidR="00ED0706" w:rsidRPr="00A26803" w:rsidRDefault="00ED0706" w:rsidP="00050F50">
      <w:pPr>
        <w:spacing w:line="276" w:lineRule="auto"/>
        <w:jc w:val="both"/>
        <w:rPr>
          <w:rFonts w:ascii="Tahoma" w:hAnsi="Tahoma" w:cs="Tahoma"/>
          <w:i/>
          <w:sz w:val="22"/>
          <w:szCs w:val="22"/>
        </w:rPr>
      </w:pPr>
      <w:r w:rsidRPr="00A26803">
        <w:rPr>
          <w:rFonts w:ascii="Tahoma" w:hAnsi="Tahoma" w:cs="Tahoma"/>
          <w:sz w:val="22"/>
          <w:szCs w:val="22"/>
        </w:rPr>
        <w:tab/>
        <w:t>Que, la Ley N° 1.119/97 "</w:t>
      </w:r>
      <w:r w:rsidRPr="00A26803">
        <w:rPr>
          <w:rFonts w:ascii="Tahoma" w:hAnsi="Tahoma" w:cs="Tahoma"/>
          <w:i/>
          <w:sz w:val="22"/>
          <w:szCs w:val="22"/>
        </w:rPr>
        <w:t>De productos para la salud y otros</w:t>
      </w:r>
      <w:r w:rsidRPr="00A26803">
        <w:rPr>
          <w:rFonts w:ascii="Tahoma" w:hAnsi="Tahoma" w:cs="Tahoma"/>
          <w:sz w:val="22"/>
          <w:szCs w:val="22"/>
        </w:rPr>
        <w:t xml:space="preserve">" en su artículo 1° expresa: </w:t>
      </w:r>
      <w:r w:rsidRPr="00A26803">
        <w:rPr>
          <w:rFonts w:ascii="Tahoma" w:hAnsi="Tahoma" w:cs="Tahoma"/>
          <w:i/>
          <w:sz w:val="22"/>
          <w:szCs w:val="22"/>
        </w:rPr>
        <w:t>"...1.-La presente ley y sus correspondientes reglamentos regulan la fabricación, elaboración, fraccionamiento, control de calidad, distribución, prescripción, dispensación, comercialización, representación, importación, exportación, almacenamiento, uso racional, régimen de precios, información, publicidad y la evaluación, autorización y registro de  los medicamentos de uso humano, drogas, productos químicos, reactivos y todo producto de uso y aplicación en medicina humana, y a los productos considerados como cosméticos y domisanitarios. 2. También regula los principios, normas, criterios y exigencias básicas sobre la eficacia, seguridad y calidad de los productos objeto de esta ley, y la actuación de las personas físicas o jurídicas que intervienen en las actividades mencionadas en el párrafo anterior".</w:t>
      </w:r>
    </w:p>
    <w:p w:rsidR="000770BF" w:rsidRPr="00A26803" w:rsidRDefault="000770BF" w:rsidP="00050F50">
      <w:pPr>
        <w:spacing w:line="276" w:lineRule="auto"/>
        <w:jc w:val="both"/>
        <w:rPr>
          <w:rFonts w:ascii="Tahoma" w:hAnsi="Tahoma" w:cs="Tahoma"/>
          <w:i/>
          <w:sz w:val="22"/>
          <w:szCs w:val="22"/>
        </w:rPr>
      </w:pPr>
    </w:p>
    <w:p w:rsidR="000770BF" w:rsidRPr="00A26803" w:rsidRDefault="000770BF" w:rsidP="00050F50">
      <w:pPr>
        <w:spacing w:line="276" w:lineRule="auto"/>
        <w:jc w:val="both"/>
        <w:rPr>
          <w:rFonts w:ascii="Tahoma" w:hAnsi="Tahoma" w:cs="Tahoma"/>
          <w:sz w:val="22"/>
          <w:szCs w:val="22"/>
        </w:rPr>
      </w:pPr>
      <w:r w:rsidRPr="00A26803">
        <w:rPr>
          <w:rFonts w:ascii="Tahoma" w:hAnsi="Tahoma" w:cs="Tahoma"/>
          <w:sz w:val="22"/>
          <w:szCs w:val="22"/>
        </w:rPr>
        <w:tab/>
        <w:t xml:space="preserve">Que, la Ley N° 1.119/97 en su artículo 2°, establece que: </w:t>
      </w:r>
      <w:r w:rsidRPr="00A26803">
        <w:rPr>
          <w:rFonts w:ascii="Tahoma" w:hAnsi="Tahoma" w:cs="Tahoma"/>
          <w:i/>
          <w:sz w:val="22"/>
          <w:szCs w:val="22"/>
        </w:rPr>
        <w:t xml:space="preserve">"...El Ministerio de Salud Pública y Bienestar Social es la autoridad sanitaria nacional responsable en todo el territorio de la República de verificar el cumplimiento de las disposiciones emanadas de la presente ley, reglamentar las situaciones que lo requieran y sancionar las infracciones que </w:t>
      </w:r>
      <w:r w:rsidRPr="00A26803">
        <w:rPr>
          <w:rFonts w:ascii="Tahoma" w:hAnsi="Tahoma" w:cs="Tahoma"/>
          <w:i/>
          <w:sz w:val="22"/>
          <w:szCs w:val="22"/>
        </w:rPr>
        <w:lastRenderedPageBreak/>
        <w:t xml:space="preserve">se detecten..." </w:t>
      </w:r>
      <w:r w:rsidRPr="00A26803">
        <w:rPr>
          <w:rFonts w:ascii="Tahoma" w:hAnsi="Tahoma" w:cs="Tahoma"/>
          <w:sz w:val="22"/>
          <w:szCs w:val="22"/>
        </w:rPr>
        <w:t xml:space="preserve">Asimismo, en su artículo 3°, numeral 1, expresa: </w:t>
      </w:r>
      <w:r w:rsidRPr="00A26803">
        <w:rPr>
          <w:rFonts w:ascii="Tahoma" w:hAnsi="Tahoma" w:cs="Tahoma"/>
          <w:i/>
          <w:sz w:val="22"/>
          <w:szCs w:val="22"/>
        </w:rPr>
        <w:t>"...Como organismo ejecutor créase la Dirección Nacional de Vigilancia Sanitaria (DNVS), dependiente del Ministerio de Salud Pública y Bienestar Social, con autarquía administrativa y financiera".</w:t>
      </w:r>
    </w:p>
    <w:p w:rsidR="000770BF" w:rsidRPr="00A26803" w:rsidRDefault="000770BF" w:rsidP="00050F50">
      <w:pPr>
        <w:spacing w:line="276" w:lineRule="auto"/>
        <w:jc w:val="both"/>
        <w:rPr>
          <w:rFonts w:ascii="Tahoma" w:hAnsi="Tahoma" w:cs="Tahoma"/>
          <w:sz w:val="22"/>
          <w:szCs w:val="22"/>
        </w:rPr>
      </w:pPr>
    </w:p>
    <w:p w:rsidR="000770BF" w:rsidRPr="00A26803" w:rsidRDefault="000770BF" w:rsidP="00050F50">
      <w:pPr>
        <w:autoSpaceDE w:val="0"/>
        <w:adjustRightInd w:val="0"/>
        <w:spacing w:line="276" w:lineRule="auto"/>
        <w:jc w:val="both"/>
        <w:rPr>
          <w:rFonts w:ascii="Tahoma" w:hAnsi="Tahoma" w:cs="Tahoma"/>
          <w:i/>
          <w:sz w:val="22"/>
          <w:szCs w:val="22"/>
        </w:rPr>
      </w:pPr>
      <w:r w:rsidRPr="00A26803">
        <w:rPr>
          <w:rFonts w:ascii="Tahoma" w:hAnsi="Tahoma" w:cs="Tahoma"/>
          <w:sz w:val="22"/>
          <w:szCs w:val="22"/>
        </w:rPr>
        <w:tab/>
        <w:t>Que, la Ley N° 1.119/97 "</w:t>
      </w:r>
      <w:r w:rsidRPr="00A26803">
        <w:rPr>
          <w:rFonts w:ascii="Tahoma" w:hAnsi="Tahoma" w:cs="Tahoma"/>
          <w:i/>
          <w:sz w:val="22"/>
          <w:szCs w:val="22"/>
        </w:rPr>
        <w:t>De productos para la salud y otros</w:t>
      </w:r>
      <w:r w:rsidRPr="00A26803">
        <w:rPr>
          <w:rFonts w:ascii="Tahoma" w:hAnsi="Tahoma" w:cs="Tahoma"/>
          <w:sz w:val="22"/>
          <w:szCs w:val="22"/>
        </w:rPr>
        <w:t xml:space="preserve">" en su artículo </w:t>
      </w:r>
      <w:r w:rsidRPr="00A26803">
        <w:rPr>
          <w:rFonts w:ascii="Tahoma" w:hAnsi="Tahoma" w:cs="Tahoma"/>
          <w:bCs/>
          <w:sz w:val="22"/>
          <w:szCs w:val="22"/>
        </w:rPr>
        <w:t>Artículo12</w:t>
      </w:r>
      <w:r w:rsidRPr="00A26803">
        <w:rPr>
          <w:rFonts w:ascii="Tahoma" w:hAnsi="Tahoma" w:cs="Tahoma"/>
          <w:sz w:val="22"/>
          <w:szCs w:val="22"/>
        </w:rPr>
        <w:t xml:space="preserve">, establece que: </w:t>
      </w:r>
      <w:r w:rsidRPr="00A26803">
        <w:rPr>
          <w:rFonts w:ascii="Tahoma" w:hAnsi="Tahoma" w:cs="Tahoma"/>
          <w:i/>
          <w:sz w:val="22"/>
          <w:szCs w:val="22"/>
        </w:rPr>
        <w:t>"El Ministerio de Salud Pública y Bienestar Social reglamentará de acuerdo con lo preceptuado en esta ley y el decreto correspondiente, el procedimiento de evaluación, concesión o denegación de la autorización e inscripción en el registro de especialidades farmacéuticas, incorporando los requisitos, trámites y plazos no contemplados expresamente en la presente ley, adecuándose, cuando se considere necesario, a los acuerdos y convenios internacionales debidamente aprobados y ratificados por el Paraguay."</w:t>
      </w:r>
    </w:p>
    <w:p w:rsidR="000770BF" w:rsidRPr="00A26803" w:rsidRDefault="00ED0706" w:rsidP="00050F50">
      <w:pPr>
        <w:spacing w:line="276" w:lineRule="auto"/>
        <w:jc w:val="both"/>
        <w:rPr>
          <w:rFonts w:ascii="Tahoma" w:hAnsi="Tahoma" w:cs="Tahoma"/>
          <w:sz w:val="22"/>
          <w:szCs w:val="22"/>
        </w:rPr>
      </w:pPr>
      <w:r w:rsidRPr="00A26803">
        <w:rPr>
          <w:rFonts w:ascii="Tahoma" w:hAnsi="Tahoma" w:cs="Tahoma"/>
          <w:sz w:val="22"/>
          <w:szCs w:val="22"/>
        </w:rPr>
        <w:tab/>
      </w:r>
    </w:p>
    <w:p w:rsidR="000770BF" w:rsidRPr="00A26803" w:rsidRDefault="000770BF" w:rsidP="00A04E7A">
      <w:pPr>
        <w:autoSpaceDE w:val="0"/>
        <w:adjustRightInd w:val="0"/>
        <w:spacing w:line="276" w:lineRule="auto"/>
        <w:jc w:val="both"/>
        <w:rPr>
          <w:rFonts w:ascii="Tahoma" w:hAnsi="Tahoma" w:cs="Tahoma"/>
          <w:i/>
          <w:sz w:val="22"/>
          <w:szCs w:val="22"/>
        </w:rPr>
      </w:pPr>
      <w:r w:rsidRPr="00A26803">
        <w:rPr>
          <w:rFonts w:ascii="Tahoma" w:hAnsi="Tahoma" w:cs="Tahoma"/>
          <w:sz w:val="22"/>
          <w:szCs w:val="22"/>
        </w:rPr>
        <w:tab/>
      </w:r>
      <w:r w:rsidR="00AC07B2" w:rsidRPr="00A26803">
        <w:rPr>
          <w:rFonts w:ascii="Tahoma" w:hAnsi="Tahoma" w:cs="Tahoma"/>
          <w:i/>
          <w:sz w:val="22"/>
          <w:szCs w:val="22"/>
        </w:rPr>
        <w:t xml:space="preserve">Que el Artículo 39 de la Ley </w:t>
      </w:r>
      <w:r w:rsidR="00A04E7A" w:rsidRPr="00A26803">
        <w:rPr>
          <w:rFonts w:ascii="Tahoma" w:hAnsi="Tahoma" w:cs="Tahoma"/>
          <w:i/>
          <w:sz w:val="22"/>
          <w:szCs w:val="22"/>
        </w:rPr>
        <w:t>“</w:t>
      </w:r>
      <w:r w:rsidR="00AC07B2" w:rsidRPr="00A26803">
        <w:rPr>
          <w:rFonts w:ascii="Tahoma" w:hAnsi="Tahoma" w:cs="Tahoma"/>
          <w:i/>
          <w:sz w:val="22"/>
          <w:szCs w:val="22"/>
        </w:rPr>
        <w:t>De Productos para la Salud y Otros</w:t>
      </w:r>
      <w:r w:rsidR="00A04E7A" w:rsidRPr="00A26803">
        <w:rPr>
          <w:rFonts w:ascii="Tahoma" w:hAnsi="Tahoma" w:cs="Tahoma"/>
          <w:i/>
          <w:sz w:val="22"/>
          <w:szCs w:val="22"/>
        </w:rPr>
        <w:t>”</w:t>
      </w:r>
      <w:r w:rsidR="00AC07B2" w:rsidRPr="00A26803">
        <w:rPr>
          <w:rFonts w:ascii="Tahoma" w:hAnsi="Tahoma" w:cs="Tahoma"/>
          <w:i/>
          <w:sz w:val="22"/>
          <w:szCs w:val="22"/>
        </w:rPr>
        <w:t xml:space="preserve"> dispone: </w:t>
      </w:r>
      <w:r w:rsidR="00A04E7A" w:rsidRPr="00A26803">
        <w:rPr>
          <w:rFonts w:ascii="Tahoma" w:hAnsi="Tahoma" w:cs="Tahoma"/>
          <w:i/>
          <w:sz w:val="22"/>
          <w:szCs w:val="22"/>
        </w:rPr>
        <w:t>“</w:t>
      </w:r>
      <w:r w:rsidR="00AC07B2" w:rsidRPr="00A26803">
        <w:rPr>
          <w:rFonts w:ascii="Tahoma" w:hAnsi="Tahoma" w:cs="Tahoma"/>
          <w:i/>
          <w:sz w:val="22"/>
          <w:szCs w:val="22"/>
        </w:rPr>
        <w:t>La autoridad sanitaria nacional reglamentará el tratamiento que se le dará a los productos definidos como cosméticos en lo que respecta a registro sanitario, requisitos para habilitación y funcionamiento de empresas fabricantes, fraccionadoras, exportadoras y/o representantes o importadoras, y en todo otro te</w:t>
      </w:r>
      <w:r w:rsidR="006F2118">
        <w:rPr>
          <w:rFonts w:ascii="Tahoma" w:hAnsi="Tahoma" w:cs="Tahoma"/>
          <w:i/>
          <w:sz w:val="22"/>
          <w:szCs w:val="22"/>
        </w:rPr>
        <w:t>m</w:t>
      </w:r>
      <w:r w:rsidR="00AC07B2" w:rsidRPr="00A26803">
        <w:rPr>
          <w:rFonts w:ascii="Tahoma" w:hAnsi="Tahoma" w:cs="Tahoma"/>
          <w:i/>
          <w:sz w:val="22"/>
          <w:szCs w:val="22"/>
        </w:rPr>
        <w:t>a relacionado que considere pertinente</w:t>
      </w:r>
      <w:r w:rsidR="00A04E7A" w:rsidRPr="00A26803">
        <w:rPr>
          <w:rFonts w:ascii="Tahoma" w:hAnsi="Tahoma" w:cs="Tahoma"/>
          <w:i/>
          <w:sz w:val="22"/>
          <w:szCs w:val="22"/>
        </w:rPr>
        <w:t>”</w:t>
      </w:r>
      <w:r w:rsidR="00AC07B2" w:rsidRPr="00A26803">
        <w:rPr>
          <w:rFonts w:ascii="Tahoma" w:hAnsi="Tahoma" w:cs="Tahoma"/>
          <w:i/>
          <w:sz w:val="22"/>
          <w:szCs w:val="22"/>
        </w:rPr>
        <w:t>.</w:t>
      </w:r>
    </w:p>
    <w:p w:rsidR="00F81E58" w:rsidRPr="00A26803" w:rsidRDefault="00F81E58" w:rsidP="00F81E58">
      <w:pPr>
        <w:autoSpaceDE w:val="0"/>
        <w:spacing w:line="276" w:lineRule="auto"/>
        <w:jc w:val="both"/>
        <w:rPr>
          <w:rFonts w:ascii="Tahoma" w:hAnsi="Tahoma" w:cs="Tahoma"/>
          <w:sz w:val="22"/>
          <w:szCs w:val="22"/>
        </w:rPr>
      </w:pPr>
    </w:p>
    <w:p w:rsidR="007B17C3" w:rsidRPr="003424F5" w:rsidRDefault="007B17C3" w:rsidP="007B17C3">
      <w:pPr>
        <w:autoSpaceDE w:val="0"/>
        <w:spacing w:line="276" w:lineRule="auto"/>
        <w:ind w:firstLine="708"/>
        <w:jc w:val="both"/>
        <w:rPr>
          <w:rFonts w:ascii="Tahoma" w:hAnsi="Tahoma" w:cs="Tahoma"/>
          <w:i/>
          <w:sz w:val="22"/>
          <w:szCs w:val="22"/>
        </w:rPr>
      </w:pPr>
      <w:r w:rsidRPr="003424F5">
        <w:rPr>
          <w:rFonts w:ascii="Tahoma" w:hAnsi="Tahoma" w:cs="Tahoma"/>
          <w:sz w:val="22"/>
          <w:szCs w:val="22"/>
        </w:rPr>
        <w:t>Que, el Decreto N° 3636/2020, POR EL CUAL SE REGLAMENTA EL ARTÍCULO 39 DE LA LEY 1119/1997, «DE PRODUCTOS PARA LA SALUD Y OTROS», SE ACTUALIZAN Y ESTABLECEN NORMAS PARA LA OBTENCIÓN Y RENOVACIÓN DEL REGISTRO SANITARIO, DE PRODUCTOS DE HIGIENE PERSONAL, COSMÉTICOS Y PERFUMES, Y SE ABROGA EL DECRETO 6474, DEL 13 DE DICIEMBRE DEL 2016. CAPÍTULO II GLOSARIO DE TÉRMINOS, Art. 2°, numeral 14 define</w:t>
      </w:r>
      <w:r w:rsidR="00A26803" w:rsidRPr="003424F5">
        <w:rPr>
          <w:rFonts w:ascii="Tahoma" w:hAnsi="Tahoma" w:cs="Tahoma"/>
          <w:sz w:val="22"/>
          <w:szCs w:val="22"/>
        </w:rPr>
        <w:t xml:space="preserve"> a los</w:t>
      </w:r>
      <w:r w:rsidRPr="003424F5">
        <w:rPr>
          <w:rFonts w:ascii="Tahoma" w:hAnsi="Tahoma" w:cs="Tahoma"/>
          <w:sz w:val="22"/>
          <w:szCs w:val="22"/>
        </w:rPr>
        <w:t xml:space="preserve"> Productos de Higiene Personal, Cosméticos y Perfumes de Grado 1 como: </w:t>
      </w:r>
      <w:r w:rsidR="00A26803" w:rsidRPr="003424F5">
        <w:rPr>
          <w:rFonts w:ascii="Tahoma" w:hAnsi="Tahoma" w:cs="Tahoma"/>
          <w:sz w:val="22"/>
          <w:szCs w:val="22"/>
        </w:rPr>
        <w:t>“</w:t>
      </w:r>
      <w:r w:rsidRPr="003424F5">
        <w:rPr>
          <w:rFonts w:ascii="Tahoma" w:hAnsi="Tahoma" w:cs="Tahoma"/>
          <w:i/>
          <w:sz w:val="22"/>
          <w:szCs w:val="22"/>
        </w:rPr>
        <w:t>son aquellos cuya formulación se caracteriza por poseer propiedades básicas o elementales, cuya comprobación no es inicialmente necesaria y no requieren informaciones detalladas en cuanto a su modo de uso y sus restricciones de uso, debido a las características intrínsecas del producto.</w:t>
      </w:r>
      <w:r w:rsidR="00A26803" w:rsidRPr="003424F5">
        <w:rPr>
          <w:rFonts w:ascii="Tahoma" w:hAnsi="Tahoma" w:cs="Tahoma"/>
          <w:i/>
          <w:sz w:val="22"/>
          <w:szCs w:val="22"/>
        </w:rPr>
        <w:t>”</w:t>
      </w:r>
      <w:r w:rsidR="00A26803" w:rsidRPr="003424F5">
        <w:rPr>
          <w:rFonts w:ascii="Tahoma" w:hAnsi="Tahoma" w:cs="Tahoma"/>
          <w:sz w:val="22"/>
          <w:szCs w:val="22"/>
        </w:rPr>
        <w:t>asimismo</w:t>
      </w:r>
      <w:r w:rsidRPr="003424F5">
        <w:rPr>
          <w:rFonts w:ascii="Tahoma" w:hAnsi="Tahoma" w:cs="Tahoma"/>
          <w:sz w:val="22"/>
          <w:szCs w:val="22"/>
        </w:rPr>
        <w:t xml:space="preserve"> en su numeral 15</w:t>
      </w:r>
      <w:r w:rsidR="00A26803" w:rsidRPr="003424F5">
        <w:rPr>
          <w:rFonts w:ascii="Tahoma" w:hAnsi="Tahoma" w:cs="Tahoma"/>
          <w:sz w:val="22"/>
          <w:szCs w:val="22"/>
        </w:rPr>
        <w:t>d</w:t>
      </w:r>
      <w:r w:rsidRPr="003424F5">
        <w:rPr>
          <w:rFonts w:ascii="Tahoma" w:hAnsi="Tahoma" w:cs="Tahoma"/>
          <w:sz w:val="22"/>
          <w:szCs w:val="22"/>
        </w:rPr>
        <w:t>efine a los Productos de Higiene Personal, Cosméticos y Perfumes de Grado 2 como</w:t>
      </w:r>
      <w:r w:rsidRPr="003424F5">
        <w:rPr>
          <w:rFonts w:ascii="Tahoma" w:hAnsi="Tahoma" w:cs="Tahoma"/>
          <w:i/>
          <w:sz w:val="22"/>
          <w:szCs w:val="22"/>
        </w:rPr>
        <w:t xml:space="preserve">: </w:t>
      </w:r>
      <w:r w:rsidR="00A26803" w:rsidRPr="003424F5">
        <w:rPr>
          <w:rFonts w:ascii="Tahoma" w:hAnsi="Tahoma" w:cs="Tahoma"/>
          <w:i/>
          <w:sz w:val="22"/>
          <w:szCs w:val="22"/>
        </w:rPr>
        <w:t>“</w:t>
      </w:r>
      <w:r w:rsidRPr="003424F5">
        <w:rPr>
          <w:rFonts w:ascii="Tahoma" w:hAnsi="Tahoma" w:cs="Tahoma"/>
          <w:i/>
          <w:sz w:val="22"/>
          <w:szCs w:val="22"/>
        </w:rPr>
        <w:t>son aquellos cuya formulación posee indicaciones específicas cuyas características exigen comprobación de seguridad y eficacia, informaciones, cuidados, modo y restricciones de uso.</w:t>
      </w:r>
      <w:r w:rsidR="00A26803" w:rsidRPr="003424F5">
        <w:rPr>
          <w:rFonts w:ascii="Tahoma" w:hAnsi="Tahoma" w:cs="Tahoma"/>
          <w:i/>
          <w:sz w:val="22"/>
          <w:szCs w:val="22"/>
        </w:rPr>
        <w:t>”</w:t>
      </w:r>
    </w:p>
    <w:p w:rsidR="00651E87" w:rsidRPr="003424F5" w:rsidRDefault="00651E87" w:rsidP="007B17C3">
      <w:pPr>
        <w:autoSpaceDE w:val="0"/>
        <w:spacing w:line="276" w:lineRule="auto"/>
        <w:ind w:firstLine="708"/>
        <w:jc w:val="both"/>
        <w:rPr>
          <w:rFonts w:ascii="Tahoma" w:hAnsi="Tahoma" w:cs="Tahoma"/>
          <w:sz w:val="22"/>
          <w:szCs w:val="22"/>
        </w:rPr>
      </w:pPr>
    </w:p>
    <w:p w:rsidR="00651E87" w:rsidRPr="003424F5" w:rsidRDefault="00651E87" w:rsidP="007B17C3">
      <w:pPr>
        <w:autoSpaceDE w:val="0"/>
        <w:spacing w:line="276" w:lineRule="auto"/>
        <w:ind w:firstLine="708"/>
        <w:jc w:val="both"/>
        <w:rPr>
          <w:rFonts w:ascii="Tahoma" w:hAnsi="Tahoma" w:cs="Tahoma"/>
          <w:i/>
          <w:sz w:val="22"/>
          <w:szCs w:val="22"/>
        </w:rPr>
      </w:pPr>
      <w:r w:rsidRPr="003424F5">
        <w:rPr>
          <w:rFonts w:ascii="Tahoma" w:hAnsi="Tahoma" w:cs="Tahoma"/>
          <w:sz w:val="22"/>
          <w:szCs w:val="22"/>
        </w:rPr>
        <w:t xml:space="preserve">Que, el Decreto N° 3636/2020 en su </w:t>
      </w:r>
      <w:r w:rsidR="00A26803" w:rsidRPr="003424F5">
        <w:rPr>
          <w:rFonts w:ascii="Tahoma" w:hAnsi="Tahoma" w:cs="Tahoma"/>
          <w:sz w:val="22"/>
          <w:szCs w:val="22"/>
        </w:rPr>
        <w:t>Artículo</w:t>
      </w:r>
      <w:r w:rsidRPr="003424F5">
        <w:rPr>
          <w:rFonts w:ascii="Tahoma" w:hAnsi="Tahoma" w:cs="Tahoma"/>
          <w:sz w:val="22"/>
          <w:szCs w:val="22"/>
        </w:rPr>
        <w:t xml:space="preserve"> 5° establece que: </w:t>
      </w:r>
      <w:r w:rsidRPr="003424F5">
        <w:rPr>
          <w:rFonts w:ascii="Tahoma" w:hAnsi="Tahoma" w:cs="Tahoma"/>
          <w:i/>
          <w:sz w:val="22"/>
          <w:szCs w:val="22"/>
        </w:rPr>
        <w:t>“La Notificación Sanitaria Obligatoria (NSO) se realizará, en carácter de Declaración Jurada, en los formularios aprobados por la Dirección Nacional de Vigilancia Sanitaria y deberá estar acompañada de los siguientes requisitos: …</w:t>
      </w:r>
      <w:r w:rsidR="00A26803" w:rsidRPr="003424F5">
        <w:rPr>
          <w:rFonts w:ascii="Tahoma" w:hAnsi="Tahoma" w:cs="Tahoma"/>
          <w:i/>
          <w:sz w:val="22"/>
          <w:szCs w:val="22"/>
        </w:rPr>
        <w:t>15. Datos de Estabilidad que respalden el plazo de validez declarado</w:t>
      </w:r>
      <w:r w:rsidRPr="003424F5">
        <w:rPr>
          <w:rFonts w:ascii="Tahoma" w:hAnsi="Tahoma" w:cs="Tahoma"/>
          <w:i/>
          <w:sz w:val="22"/>
          <w:szCs w:val="22"/>
        </w:rPr>
        <w:t>…”</w:t>
      </w:r>
    </w:p>
    <w:p w:rsidR="00651E87" w:rsidRPr="003424F5" w:rsidRDefault="00651E87" w:rsidP="007B17C3">
      <w:pPr>
        <w:autoSpaceDE w:val="0"/>
        <w:spacing w:line="276" w:lineRule="auto"/>
        <w:ind w:firstLine="708"/>
        <w:jc w:val="both"/>
        <w:rPr>
          <w:rFonts w:ascii="Tahoma" w:hAnsi="Tahoma" w:cs="Tahoma"/>
          <w:sz w:val="22"/>
          <w:szCs w:val="22"/>
        </w:rPr>
      </w:pPr>
    </w:p>
    <w:p w:rsidR="007408ED" w:rsidRPr="003424F5" w:rsidRDefault="007408ED" w:rsidP="007408ED">
      <w:pPr>
        <w:autoSpaceDE w:val="0"/>
        <w:spacing w:line="276" w:lineRule="auto"/>
        <w:ind w:firstLine="708"/>
        <w:jc w:val="both"/>
        <w:rPr>
          <w:rFonts w:ascii="Tahoma" w:hAnsi="Tahoma" w:cs="Tahoma"/>
          <w:i/>
          <w:sz w:val="22"/>
          <w:szCs w:val="22"/>
        </w:rPr>
      </w:pPr>
      <w:r w:rsidRPr="003424F5">
        <w:rPr>
          <w:rFonts w:ascii="Tahoma" w:hAnsi="Tahoma" w:cs="Tahoma"/>
          <w:sz w:val="22"/>
          <w:szCs w:val="22"/>
        </w:rPr>
        <w:lastRenderedPageBreak/>
        <w:t xml:space="preserve">Que, el Decreto N° 3636/2020 en su Artículo 19° establece que: </w:t>
      </w:r>
      <w:r w:rsidRPr="003424F5">
        <w:rPr>
          <w:rFonts w:ascii="Tahoma" w:hAnsi="Tahoma" w:cs="Tahoma"/>
          <w:i/>
          <w:sz w:val="22"/>
          <w:szCs w:val="22"/>
        </w:rPr>
        <w:t>“ Para la obtención del Registro Sanitario de Productos de Higiene Personal, Cosméticos y Perfumes de Grado 2, las empresas fabricantes, fraccionadoras, exportadoras, representantes o importadoras deberán presentar ante la Dirección Nacional de Vigilancia Sanitaria los siguientes recaudos:…15. Datos de Estabilidad que respalden el plazo de validez declarado…”</w:t>
      </w:r>
    </w:p>
    <w:p w:rsidR="007408ED" w:rsidRPr="00A26803" w:rsidRDefault="007408ED" w:rsidP="007B17C3">
      <w:pPr>
        <w:autoSpaceDE w:val="0"/>
        <w:spacing w:line="276" w:lineRule="auto"/>
        <w:ind w:firstLine="708"/>
        <w:jc w:val="both"/>
        <w:rPr>
          <w:rFonts w:ascii="Tahoma" w:hAnsi="Tahoma" w:cs="Tahoma"/>
          <w:sz w:val="22"/>
          <w:szCs w:val="22"/>
        </w:rPr>
      </w:pPr>
    </w:p>
    <w:p w:rsidR="00A04E7A" w:rsidRPr="003424F5" w:rsidRDefault="00A04E7A" w:rsidP="00A04E7A">
      <w:pPr>
        <w:autoSpaceDE w:val="0"/>
        <w:adjustRightInd w:val="0"/>
        <w:spacing w:line="276" w:lineRule="auto"/>
        <w:ind w:firstLine="708"/>
        <w:jc w:val="both"/>
        <w:rPr>
          <w:rFonts w:ascii="Tahoma" w:hAnsi="Tahoma" w:cs="Tahoma"/>
          <w:sz w:val="22"/>
          <w:szCs w:val="22"/>
        </w:rPr>
      </w:pPr>
      <w:r w:rsidRPr="003424F5">
        <w:rPr>
          <w:rFonts w:ascii="Tahoma" w:hAnsi="Tahoma" w:cs="Tahoma"/>
          <w:sz w:val="22"/>
          <w:szCs w:val="22"/>
        </w:rPr>
        <w:t>Que</w:t>
      </w:r>
      <w:r w:rsidR="00651E87" w:rsidRPr="003424F5">
        <w:rPr>
          <w:rFonts w:ascii="Tahoma" w:hAnsi="Tahoma" w:cs="Tahoma"/>
          <w:sz w:val="22"/>
          <w:szCs w:val="22"/>
        </w:rPr>
        <w:t>,</w:t>
      </w:r>
      <w:r w:rsidRPr="003424F5">
        <w:rPr>
          <w:rFonts w:ascii="Tahoma" w:hAnsi="Tahoma" w:cs="Tahoma"/>
          <w:sz w:val="22"/>
          <w:szCs w:val="22"/>
        </w:rPr>
        <w:t xml:space="preserve"> las exigencias establecidas para la inscripción de los productos en el Registro Nacional de Productos de Higiene Personal, Cosméticos y Perfumes deben estar diferenciados de acuerdo con su clasificación de riesgo, en la atención a la estimación de la incidencia y gravedad de los electos adversos probables en una población humana o en un compartimiento del ambiente, debido a la exposición real o prevista a la sustancia.</w:t>
      </w:r>
    </w:p>
    <w:p w:rsidR="00A04E7A" w:rsidRPr="003424F5" w:rsidRDefault="00A04E7A" w:rsidP="00183329">
      <w:pPr>
        <w:suppressAutoHyphens w:val="0"/>
        <w:autoSpaceDE w:val="0"/>
        <w:adjustRightInd w:val="0"/>
        <w:spacing w:line="276" w:lineRule="auto"/>
        <w:jc w:val="both"/>
        <w:textAlignment w:val="auto"/>
        <w:rPr>
          <w:rFonts w:ascii="Tahoma" w:hAnsi="Tahoma" w:cs="Tahoma"/>
          <w:sz w:val="22"/>
          <w:szCs w:val="22"/>
          <w:lang w:eastAsia="es-PY" w:bidi="ar-SA"/>
        </w:rPr>
      </w:pPr>
    </w:p>
    <w:p w:rsidR="00A26803" w:rsidRPr="003424F5" w:rsidRDefault="00A26803" w:rsidP="00A26803">
      <w:pPr>
        <w:autoSpaceDE w:val="0"/>
        <w:adjustRightInd w:val="0"/>
        <w:spacing w:line="276" w:lineRule="auto"/>
        <w:ind w:firstLine="709"/>
        <w:jc w:val="both"/>
        <w:rPr>
          <w:rFonts w:ascii="Tahoma" w:eastAsia="ArialMT" w:hAnsi="Tahoma" w:cs="Tahoma"/>
          <w:sz w:val="22"/>
          <w:szCs w:val="22"/>
          <w:lang w:val="es-ES"/>
        </w:rPr>
      </w:pPr>
      <w:r w:rsidRPr="003424F5">
        <w:rPr>
          <w:rFonts w:ascii="Tahoma" w:eastAsia="Tahoma" w:hAnsi="Tahoma" w:cs="Tahoma"/>
          <w:sz w:val="22"/>
          <w:szCs w:val="22"/>
          <w:lang w:val="es-ES"/>
        </w:rPr>
        <w:t xml:space="preserve">Que, es necesario establecer los requisitos técnicos para estudios de estabilidad de productos para la salud considerados productos de higiene personal, cosméticos y perfumes, </w:t>
      </w:r>
      <w:r w:rsidR="006F2118" w:rsidRPr="003424F5">
        <w:rPr>
          <w:rFonts w:ascii="Tahoma" w:eastAsia="Tahoma" w:hAnsi="Tahoma" w:cs="Tahoma"/>
          <w:sz w:val="22"/>
          <w:szCs w:val="22"/>
          <w:lang w:val="es-ES"/>
        </w:rPr>
        <w:t xml:space="preserve">a </w:t>
      </w:r>
      <w:r w:rsidR="009F410B" w:rsidRPr="003424F5">
        <w:rPr>
          <w:rFonts w:ascii="Tahoma" w:eastAsia="Tahoma" w:hAnsi="Tahoma" w:cs="Tahoma"/>
          <w:sz w:val="22"/>
          <w:szCs w:val="22"/>
          <w:lang w:val="es-ES"/>
        </w:rPr>
        <w:t xml:space="preserve">ser presentados en el marco de lo establecido en </w:t>
      </w:r>
      <w:r w:rsidR="006F2118" w:rsidRPr="003424F5">
        <w:rPr>
          <w:rFonts w:ascii="Tahoma" w:eastAsia="Tahoma" w:hAnsi="Tahoma" w:cs="Tahoma"/>
          <w:sz w:val="22"/>
          <w:szCs w:val="22"/>
          <w:lang w:val="es-ES"/>
        </w:rPr>
        <w:t xml:space="preserve">el </w:t>
      </w:r>
      <w:r w:rsidR="006F2118" w:rsidRPr="003424F5">
        <w:rPr>
          <w:rFonts w:ascii="Tahoma" w:hAnsi="Tahoma" w:cs="Tahoma"/>
          <w:sz w:val="22"/>
          <w:szCs w:val="22"/>
        </w:rPr>
        <w:t>Decreto N° 3636/2020 p</w:t>
      </w:r>
      <w:r w:rsidR="006F2118" w:rsidRPr="003424F5">
        <w:rPr>
          <w:rFonts w:ascii="Tahoma" w:eastAsia="Tahoma" w:hAnsi="Tahoma" w:cs="Tahoma"/>
          <w:sz w:val="22"/>
          <w:szCs w:val="22"/>
          <w:lang w:val="es-ES"/>
        </w:rPr>
        <w:t xml:space="preserve">ara </w:t>
      </w:r>
      <w:r w:rsidR="009F410B" w:rsidRPr="003424F5">
        <w:rPr>
          <w:rFonts w:ascii="Tahoma" w:eastAsia="Tahoma" w:hAnsi="Tahoma" w:cs="Tahoma"/>
          <w:sz w:val="22"/>
          <w:szCs w:val="22"/>
          <w:lang w:val="es-ES"/>
        </w:rPr>
        <w:t xml:space="preserve">la emisión </w:t>
      </w:r>
      <w:r w:rsidR="006F2118" w:rsidRPr="003424F5">
        <w:rPr>
          <w:rFonts w:ascii="Tahoma" w:eastAsia="Tahoma" w:hAnsi="Tahoma" w:cs="Tahoma"/>
          <w:sz w:val="22"/>
          <w:szCs w:val="22"/>
          <w:lang w:val="es-ES"/>
        </w:rPr>
        <w:t>d</w:t>
      </w:r>
      <w:r w:rsidRPr="003424F5">
        <w:rPr>
          <w:rFonts w:ascii="Tahoma" w:eastAsia="Tahoma" w:hAnsi="Tahoma" w:cs="Tahoma"/>
          <w:sz w:val="22"/>
          <w:szCs w:val="22"/>
          <w:lang w:val="es-ES"/>
        </w:rPr>
        <w:t>el registro sanitario</w:t>
      </w:r>
      <w:r w:rsidR="006F2118" w:rsidRPr="003424F5">
        <w:rPr>
          <w:rFonts w:ascii="Tahoma" w:eastAsia="Tahoma" w:hAnsi="Tahoma" w:cs="Tahoma"/>
          <w:sz w:val="22"/>
          <w:szCs w:val="22"/>
          <w:lang w:val="es-ES"/>
        </w:rPr>
        <w:t>.</w:t>
      </w:r>
    </w:p>
    <w:p w:rsidR="00A26803" w:rsidRPr="003424F5" w:rsidRDefault="00A26803" w:rsidP="00A26803">
      <w:pPr>
        <w:suppressAutoHyphens w:val="0"/>
        <w:autoSpaceDE w:val="0"/>
        <w:adjustRightInd w:val="0"/>
        <w:spacing w:line="276" w:lineRule="auto"/>
        <w:ind w:firstLine="708"/>
        <w:jc w:val="both"/>
        <w:textAlignment w:val="auto"/>
        <w:rPr>
          <w:rFonts w:ascii="Tahoma" w:hAnsi="Tahoma" w:cs="Tahoma"/>
          <w:sz w:val="22"/>
          <w:szCs w:val="22"/>
          <w:lang w:val="es-ES" w:eastAsia="es-PY" w:bidi="ar-SA"/>
        </w:rPr>
      </w:pPr>
    </w:p>
    <w:p w:rsidR="00ED0706" w:rsidRPr="00A26803" w:rsidRDefault="00ED0706" w:rsidP="00183329">
      <w:pPr>
        <w:suppressAutoHyphens w:val="0"/>
        <w:autoSpaceDE w:val="0"/>
        <w:adjustRightInd w:val="0"/>
        <w:spacing w:line="276" w:lineRule="auto"/>
        <w:jc w:val="both"/>
        <w:textAlignment w:val="auto"/>
        <w:rPr>
          <w:rFonts w:ascii="Tahoma" w:eastAsia="Tahoma" w:hAnsi="Tahoma" w:cs="Tahoma"/>
          <w:sz w:val="22"/>
          <w:szCs w:val="22"/>
        </w:rPr>
      </w:pPr>
      <w:r w:rsidRPr="003424F5">
        <w:rPr>
          <w:rFonts w:ascii="Tahoma" w:hAnsi="Tahoma" w:cs="Tahoma"/>
          <w:sz w:val="22"/>
          <w:szCs w:val="22"/>
          <w:lang w:eastAsia="es-PY" w:bidi="ar-SA"/>
        </w:rPr>
        <w:tab/>
      </w:r>
      <w:r w:rsidRPr="003424F5">
        <w:rPr>
          <w:rFonts w:ascii="Tahoma" w:eastAsia="Tahoma" w:hAnsi="Tahoma" w:cs="Tahoma"/>
          <w:sz w:val="22"/>
          <w:szCs w:val="22"/>
        </w:rPr>
        <w:t>Que, los artículos 19, y 20 numeral 6)</w:t>
      </w:r>
      <w:r w:rsidRPr="00A26803">
        <w:rPr>
          <w:rFonts w:ascii="Tahoma" w:eastAsia="Tahoma" w:hAnsi="Tahoma" w:cs="Tahoma"/>
          <w:sz w:val="22"/>
          <w:szCs w:val="22"/>
        </w:rPr>
        <w:t xml:space="preserve"> del Decreto N° 21376/98 “POR EL CUAL SE ESTABLECE LA NUEVA ORGANIZACIÓN FUNCIONAL DEL MINISTERIO DE SALUD PÚBLICA Y BIENESTAR SOCIAL” dispone que compete al Ministro de Salud Pública y Bienestar Social ejercer la administración de la institución; y el numeral 7) del artículo 20 del citado Decreto se establece que es función específica del Ministro, entre otras, la de dictar resoluciones que regulen la actividad de los diversos programas y servicios, reglamenten su organización y determinen sus funciones.</w:t>
      </w:r>
    </w:p>
    <w:p w:rsidR="00ED0706" w:rsidRPr="00A26803" w:rsidRDefault="00ED0706" w:rsidP="00050F50">
      <w:pPr>
        <w:pStyle w:val="Standard"/>
        <w:widowControl/>
        <w:spacing w:line="276" w:lineRule="auto"/>
        <w:ind w:firstLine="708"/>
        <w:jc w:val="both"/>
        <w:rPr>
          <w:rFonts w:ascii="Tahoma" w:eastAsia="Tahoma" w:hAnsi="Tahoma" w:cs="Tahoma"/>
          <w:sz w:val="22"/>
          <w:szCs w:val="22"/>
        </w:rPr>
      </w:pPr>
    </w:p>
    <w:p w:rsidR="00ED0706" w:rsidRPr="00A26803" w:rsidRDefault="00ED0706" w:rsidP="00050F50">
      <w:pPr>
        <w:pStyle w:val="Standard"/>
        <w:widowControl/>
        <w:spacing w:line="276" w:lineRule="auto"/>
        <w:jc w:val="both"/>
        <w:rPr>
          <w:rFonts w:ascii="Tahoma" w:eastAsia="Tahoma" w:hAnsi="Tahoma" w:cs="Tahoma"/>
          <w:sz w:val="22"/>
          <w:szCs w:val="22"/>
        </w:rPr>
      </w:pPr>
      <w:r w:rsidRPr="00A26803">
        <w:rPr>
          <w:rFonts w:ascii="Tahoma" w:eastAsia="Tahoma" w:hAnsi="Tahoma" w:cs="Tahoma"/>
          <w:sz w:val="22"/>
          <w:szCs w:val="22"/>
        </w:rPr>
        <w:tab/>
        <w:t>Que, la Dirección General de Asesoría Jurídica, a través del Dictamen A.J. N°-----  , de fecha ------ de ------ de  2020, ha emitido su parecer favorable a la firma de la presente Resolución.</w:t>
      </w:r>
    </w:p>
    <w:p w:rsidR="00ED0706" w:rsidRPr="00A26803" w:rsidRDefault="00ED0706" w:rsidP="00050F50">
      <w:pPr>
        <w:pStyle w:val="Standard"/>
        <w:widowControl/>
        <w:spacing w:line="276" w:lineRule="auto"/>
        <w:jc w:val="both"/>
        <w:rPr>
          <w:rFonts w:ascii="Tahoma" w:eastAsia="Tahoma" w:hAnsi="Tahoma" w:cs="Tahoma"/>
          <w:sz w:val="22"/>
          <w:szCs w:val="22"/>
        </w:rPr>
      </w:pPr>
    </w:p>
    <w:p w:rsidR="00ED0706" w:rsidRPr="00A26803" w:rsidRDefault="00ED0706" w:rsidP="00050F50">
      <w:pPr>
        <w:pStyle w:val="Standard"/>
        <w:spacing w:line="276" w:lineRule="auto"/>
        <w:jc w:val="both"/>
        <w:rPr>
          <w:rFonts w:ascii="Tahoma" w:hAnsi="Tahoma" w:cs="Tahoma"/>
          <w:sz w:val="22"/>
          <w:szCs w:val="22"/>
        </w:rPr>
      </w:pPr>
      <w:r w:rsidRPr="00A26803">
        <w:rPr>
          <w:rFonts w:ascii="Tahoma" w:eastAsia="Tahoma" w:hAnsi="Tahoma" w:cs="Tahoma"/>
          <w:b/>
          <w:sz w:val="22"/>
          <w:szCs w:val="22"/>
        </w:rPr>
        <w:t>POR TANTO</w:t>
      </w:r>
      <w:r w:rsidRPr="00A26803">
        <w:rPr>
          <w:rFonts w:ascii="Tahoma" w:eastAsia="Tahoma" w:hAnsi="Tahoma" w:cs="Tahoma"/>
          <w:sz w:val="22"/>
          <w:szCs w:val="22"/>
        </w:rPr>
        <w:t>, en ejercicio de sus funciones legales;</w:t>
      </w:r>
    </w:p>
    <w:p w:rsidR="00ED0706" w:rsidRPr="00A26803" w:rsidRDefault="00ED0706" w:rsidP="00050F50">
      <w:pPr>
        <w:pStyle w:val="Standard"/>
        <w:spacing w:line="276" w:lineRule="auto"/>
        <w:jc w:val="both"/>
        <w:rPr>
          <w:rFonts w:ascii="Tahoma" w:eastAsia="Tahoma" w:hAnsi="Tahoma" w:cs="Tahoma"/>
          <w:sz w:val="22"/>
          <w:szCs w:val="22"/>
        </w:rPr>
      </w:pPr>
    </w:p>
    <w:p w:rsidR="0036333F" w:rsidRPr="00A26803" w:rsidRDefault="0036333F" w:rsidP="00050F50">
      <w:pPr>
        <w:pStyle w:val="Standard"/>
        <w:spacing w:line="276" w:lineRule="auto"/>
        <w:jc w:val="both"/>
        <w:rPr>
          <w:rFonts w:ascii="Tahoma" w:eastAsia="Tahoma" w:hAnsi="Tahoma" w:cs="Tahoma"/>
          <w:sz w:val="22"/>
          <w:szCs w:val="22"/>
        </w:rPr>
      </w:pPr>
    </w:p>
    <w:p w:rsidR="00ED0706" w:rsidRPr="00A26803" w:rsidRDefault="00ED0706" w:rsidP="00050F50">
      <w:pPr>
        <w:pStyle w:val="Standard"/>
        <w:spacing w:line="276" w:lineRule="auto"/>
        <w:jc w:val="center"/>
        <w:rPr>
          <w:rFonts w:ascii="Tahoma" w:eastAsia="Tahoma" w:hAnsi="Tahoma" w:cs="Tahoma"/>
          <w:b/>
          <w:smallCaps/>
          <w:sz w:val="22"/>
          <w:szCs w:val="22"/>
        </w:rPr>
      </w:pPr>
      <w:r w:rsidRPr="00A26803">
        <w:rPr>
          <w:rFonts w:ascii="Tahoma" w:eastAsia="Tahoma" w:hAnsi="Tahoma" w:cs="Tahoma"/>
          <w:b/>
          <w:smallCaps/>
          <w:sz w:val="22"/>
          <w:szCs w:val="22"/>
        </w:rPr>
        <w:t>EL MINISTRO DE SALUD PÚBLICA Y BIENESTAR SOCIAL</w:t>
      </w:r>
    </w:p>
    <w:p w:rsidR="004106F4" w:rsidRPr="00A26803" w:rsidRDefault="004106F4" w:rsidP="00050F50">
      <w:pPr>
        <w:pStyle w:val="Standard"/>
        <w:spacing w:line="276" w:lineRule="auto"/>
        <w:jc w:val="center"/>
        <w:rPr>
          <w:rFonts w:ascii="Tahoma" w:eastAsia="Tahoma" w:hAnsi="Tahoma" w:cs="Tahoma"/>
          <w:b/>
          <w:smallCaps/>
          <w:sz w:val="22"/>
          <w:szCs w:val="22"/>
        </w:rPr>
      </w:pPr>
    </w:p>
    <w:p w:rsidR="00ED0706" w:rsidRPr="00A26803" w:rsidRDefault="00ED0706" w:rsidP="00050F50">
      <w:pPr>
        <w:pStyle w:val="Standard"/>
        <w:widowControl/>
        <w:spacing w:line="276" w:lineRule="auto"/>
        <w:jc w:val="center"/>
        <w:rPr>
          <w:rFonts w:ascii="Tahoma" w:eastAsia="Tahoma" w:hAnsi="Tahoma" w:cs="Tahoma"/>
          <w:b/>
          <w:sz w:val="22"/>
          <w:szCs w:val="22"/>
        </w:rPr>
      </w:pPr>
      <w:r w:rsidRPr="00A26803">
        <w:rPr>
          <w:rFonts w:ascii="Tahoma" w:eastAsia="Tahoma" w:hAnsi="Tahoma" w:cs="Tahoma"/>
          <w:b/>
          <w:sz w:val="22"/>
          <w:szCs w:val="22"/>
        </w:rPr>
        <w:t>R E S U E L V E</w:t>
      </w:r>
    </w:p>
    <w:p w:rsidR="004106F4" w:rsidRPr="00A26803" w:rsidRDefault="004106F4" w:rsidP="004106F4">
      <w:pPr>
        <w:jc w:val="both"/>
        <w:rPr>
          <w:rFonts w:ascii="Tahoma" w:eastAsia="Tahoma" w:hAnsi="Tahoma" w:cs="Tahoma"/>
          <w:b/>
          <w:sz w:val="22"/>
          <w:szCs w:val="22"/>
          <w:lang w:val="es-ES"/>
        </w:rPr>
      </w:pPr>
    </w:p>
    <w:p w:rsidR="004106F4" w:rsidRPr="00A26803" w:rsidRDefault="004106F4" w:rsidP="00A04E7A">
      <w:pPr>
        <w:spacing w:line="292" w:lineRule="auto"/>
        <w:ind w:left="1560" w:hanging="1560"/>
        <w:jc w:val="both"/>
        <w:rPr>
          <w:rFonts w:ascii="Tahoma" w:eastAsia="Arial-BoldMT" w:hAnsi="Tahoma" w:cs="Tahoma"/>
          <w:b/>
          <w:bCs/>
          <w:sz w:val="22"/>
          <w:szCs w:val="22"/>
          <w:lang w:val="es-ES"/>
        </w:rPr>
      </w:pPr>
      <w:r w:rsidRPr="00A26803">
        <w:rPr>
          <w:rFonts w:ascii="Tahoma" w:eastAsia="Tahoma" w:hAnsi="Tahoma" w:cs="Tahoma"/>
          <w:b/>
          <w:sz w:val="22"/>
          <w:szCs w:val="22"/>
          <w:lang w:val="es-ES"/>
        </w:rPr>
        <w:t>Artículo 1°.</w:t>
      </w:r>
      <w:r w:rsidR="00A04E7A" w:rsidRPr="00A26803">
        <w:rPr>
          <w:rFonts w:ascii="Tahoma" w:eastAsia="Tahoma" w:hAnsi="Tahoma" w:cs="Tahoma"/>
          <w:b/>
          <w:sz w:val="22"/>
          <w:szCs w:val="22"/>
          <w:lang w:val="es-ES"/>
        </w:rPr>
        <w:t>-</w:t>
      </w:r>
      <w:r w:rsidRPr="00A26803">
        <w:rPr>
          <w:rFonts w:ascii="Tahoma" w:eastAsia="Tahoma" w:hAnsi="Tahoma" w:cs="Tahoma"/>
          <w:b/>
          <w:sz w:val="22"/>
          <w:szCs w:val="22"/>
          <w:lang w:val="es-ES"/>
        </w:rPr>
        <w:tab/>
      </w:r>
      <w:r w:rsidRPr="00A26803">
        <w:rPr>
          <w:rFonts w:ascii="Tahoma" w:eastAsia="Tahoma" w:hAnsi="Tahoma" w:cs="Tahoma"/>
          <w:sz w:val="22"/>
          <w:szCs w:val="22"/>
          <w:lang w:val="es-ES"/>
        </w:rPr>
        <w:t xml:space="preserve">Establecer los </w:t>
      </w:r>
      <w:r w:rsidR="00A04E7A" w:rsidRPr="00A26803">
        <w:rPr>
          <w:rFonts w:ascii="Tahoma" w:eastAsia="Tahoma" w:hAnsi="Tahoma" w:cs="Tahoma"/>
          <w:sz w:val="22"/>
          <w:szCs w:val="22"/>
          <w:lang w:val="es-ES"/>
        </w:rPr>
        <w:t xml:space="preserve">requisitos técnicos para estudios de estabilidad de productos para la salud considerados productos de higiene personal, cosméticos y perfumes, </w:t>
      </w:r>
      <w:r w:rsidRPr="00A26803">
        <w:rPr>
          <w:rFonts w:ascii="Tahoma" w:eastAsia="Tahoma" w:hAnsi="Tahoma" w:cs="Tahoma"/>
          <w:sz w:val="22"/>
          <w:szCs w:val="22"/>
          <w:lang w:val="es-ES"/>
        </w:rPr>
        <w:t>regulados por el Ministerio de Salud Pública y Bienestar Social a través de la Dirección Nacional de Vigilancia Sanitaria</w:t>
      </w:r>
      <w:r w:rsidR="00264261" w:rsidRPr="00A26803">
        <w:rPr>
          <w:rFonts w:ascii="Tahoma" w:eastAsia="Tahoma" w:hAnsi="Tahoma" w:cs="Tahoma"/>
          <w:sz w:val="22"/>
          <w:szCs w:val="22"/>
          <w:lang w:val="es-ES"/>
        </w:rPr>
        <w:t xml:space="preserve"> (DNVS)</w:t>
      </w:r>
      <w:r w:rsidRPr="00A26803">
        <w:rPr>
          <w:rFonts w:ascii="Tahoma" w:eastAsia="Tahoma" w:hAnsi="Tahoma" w:cs="Tahoma"/>
          <w:sz w:val="22"/>
          <w:szCs w:val="22"/>
          <w:lang w:val="es-ES"/>
        </w:rPr>
        <w:t>.</w:t>
      </w:r>
    </w:p>
    <w:p w:rsidR="004106F4" w:rsidRPr="00A26803" w:rsidRDefault="004106F4" w:rsidP="004106F4">
      <w:pPr>
        <w:jc w:val="both"/>
        <w:rPr>
          <w:rFonts w:ascii="Tahoma" w:hAnsi="Tahoma" w:cs="Tahoma"/>
          <w:sz w:val="22"/>
          <w:szCs w:val="22"/>
          <w:lang w:val="es-ES"/>
        </w:rPr>
      </w:pPr>
    </w:p>
    <w:p w:rsidR="004106F4" w:rsidRPr="00A26803" w:rsidRDefault="004106F4" w:rsidP="00A04E7A">
      <w:pPr>
        <w:autoSpaceDE w:val="0"/>
        <w:adjustRightInd w:val="0"/>
        <w:spacing w:line="276" w:lineRule="auto"/>
        <w:ind w:left="1560" w:hanging="1560"/>
        <w:jc w:val="both"/>
        <w:rPr>
          <w:rFonts w:ascii="Tahoma" w:eastAsia="ArialMT" w:hAnsi="Tahoma" w:cs="Tahoma"/>
          <w:sz w:val="22"/>
          <w:szCs w:val="22"/>
          <w:lang w:val="es-ES"/>
        </w:rPr>
      </w:pPr>
      <w:r w:rsidRPr="00A26803">
        <w:rPr>
          <w:rFonts w:ascii="Tahoma" w:eastAsia="Tahoma" w:hAnsi="Tahoma" w:cs="Tahoma"/>
          <w:b/>
          <w:sz w:val="22"/>
          <w:szCs w:val="22"/>
          <w:lang w:val="es-ES"/>
        </w:rPr>
        <w:t>Artículo 2°.</w:t>
      </w:r>
      <w:r w:rsidR="00A04E7A" w:rsidRPr="00A26803">
        <w:rPr>
          <w:rFonts w:ascii="Tahoma" w:eastAsia="Tahoma" w:hAnsi="Tahoma" w:cs="Tahoma"/>
          <w:b/>
          <w:sz w:val="22"/>
          <w:szCs w:val="22"/>
          <w:lang w:val="es-ES"/>
        </w:rPr>
        <w:t>-</w:t>
      </w:r>
      <w:r w:rsidR="00A04E7A" w:rsidRPr="00A26803">
        <w:rPr>
          <w:rFonts w:ascii="Tahoma" w:eastAsia="Tahoma" w:hAnsi="Tahoma" w:cs="Tahoma"/>
          <w:sz w:val="22"/>
          <w:szCs w:val="22"/>
          <w:lang w:val="es-ES"/>
        </w:rPr>
        <w:t xml:space="preserve">Aprobar el </w:t>
      </w:r>
      <w:r w:rsidR="00A04E7A" w:rsidRPr="00A26803">
        <w:rPr>
          <w:rFonts w:ascii="Tahoma" w:eastAsia="Tahoma" w:hAnsi="Tahoma" w:cs="Tahoma"/>
          <w:b/>
          <w:sz w:val="22"/>
          <w:szCs w:val="22"/>
          <w:lang w:val="es-ES"/>
        </w:rPr>
        <w:t>ANEXO I “LISTADO DE ENSAYOS MÍNIMOS PARA EVALUACIÓN DE LA ESTABILIDAD DE PRODUCTOS DE HIGIENTE PERSONAL, COSMÉTICOS Y PERFUMES”</w:t>
      </w:r>
      <w:r w:rsidR="00264261" w:rsidRPr="00A26803">
        <w:rPr>
          <w:rFonts w:ascii="Tahoma" w:eastAsia="Tahoma" w:hAnsi="Tahoma" w:cs="Tahoma"/>
          <w:sz w:val="22"/>
          <w:szCs w:val="22"/>
          <w:lang w:val="es-ES"/>
        </w:rPr>
        <w:t xml:space="preserve">, como exigencia mínima </w:t>
      </w:r>
      <w:r w:rsidR="003340CD">
        <w:rPr>
          <w:rFonts w:ascii="Tahoma" w:eastAsia="Tahoma" w:hAnsi="Tahoma" w:cs="Tahoma"/>
          <w:sz w:val="22"/>
          <w:szCs w:val="22"/>
          <w:lang w:val="es-ES"/>
        </w:rPr>
        <w:t xml:space="preserve">para la </w:t>
      </w:r>
      <w:r w:rsidR="00264261" w:rsidRPr="00A26803">
        <w:rPr>
          <w:rFonts w:ascii="Tahoma" w:eastAsia="Tahoma" w:hAnsi="Tahoma" w:cs="Tahoma"/>
          <w:sz w:val="22"/>
          <w:szCs w:val="22"/>
          <w:lang w:val="es-ES"/>
        </w:rPr>
        <w:t>solicit</w:t>
      </w:r>
      <w:r w:rsidR="003340CD">
        <w:rPr>
          <w:rFonts w:ascii="Tahoma" w:eastAsia="Tahoma" w:hAnsi="Tahoma" w:cs="Tahoma"/>
          <w:sz w:val="22"/>
          <w:szCs w:val="22"/>
          <w:lang w:val="es-ES"/>
        </w:rPr>
        <w:t>udd</w:t>
      </w:r>
      <w:r w:rsidR="00264261" w:rsidRPr="00A26803">
        <w:rPr>
          <w:rFonts w:ascii="Tahoma" w:eastAsia="Tahoma" w:hAnsi="Tahoma" w:cs="Tahoma"/>
          <w:sz w:val="22"/>
          <w:szCs w:val="22"/>
          <w:lang w:val="es-ES"/>
        </w:rPr>
        <w:t xml:space="preserve">el registro sanitario, y </w:t>
      </w:r>
      <w:r w:rsidRPr="00A26803">
        <w:rPr>
          <w:rFonts w:ascii="Tahoma" w:eastAsia="Tahoma" w:hAnsi="Tahoma" w:cs="Tahoma"/>
          <w:sz w:val="22"/>
          <w:szCs w:val="22"/>
          <w:lang w:val="es-ES"/>
        </w:rPr>
        <w:t>que</w:t>
      </w:r>
      <w:r w:rsidR="00A04E7A" w:rsidRPr="00A26803">
        <w:rPr>
          <w:rFonts w:ascii="Tahoma" w:eastAsia="Tahoma" w:hAnsi="Tahoma" w:cs="Tahoma"/>
          <w:sz w:val="22"/>
          <w:szCs w:val="22"/>
          <w:lang w:val="es-ES"/>
        </w:rPr>
        <w:t xml:space="preserve"> forma parte indisoluble de la presente resolución</w:t>
      </w:r>
      <w:r w:rsidRPr="00A26803">
        <w:rPr>
          <w:rFonts w:ascii="Tahoma" w:eastAsia="ArialMT" w:hAnsi="Tahoma" w:cs="Tahoma"/>
          <w:sz w:val="22"/>
          <w:szCs w:val="22"/>
          <w:lang w:val="es-ES"/>
        </w:rPr>
        <w:t xml:space="preserve">. </w:t>
      </w:r>
    </w:p>
    <w:p w:rsidR="004106F4" w:rsidRPr="00A26803" w:rsidRDefault="004106F4" w:rsidP="004106F4">
      <w:pPr>
        <w:autoSpaceDE w:val="0"/>
        <w:adjustRightInd w:val="0"/>
        <w:spacing w:line="276" w:lineRule="auto"/>
        <w:jc w:val="both"/>
        <w:rPr>
          <w:rFonts w:ascii="Tahoma" w:eastAsia="ArialMT" w:hAnsi="Tahoma" w:cs="Tahoma"/>
          <w:sz w:val="22"/>
          <w:szCs w:val="22"/>
          <w:lang w:val="es-ES"/>
        </w:rPr>
      </w:pPr>
    </w:p>
    <w:p w:rsidR="004106F4" w:rsidRPr="00A26803" w:rsidRDefault="00A04E7A" w:rsidP="00A04E7A">
      <w:pPr>
        <w:autoSpaceDE w:val="0"/>
        <w:adjustRightInd w:val="0"/>
        <w:spacing w:line="276" w:lineRule="auto"/>
        <w:ind w:left="1560" w:hanging="1560"/>
        <w:jc w:val="both"/>
        <w:rPr>
          <w:rFonts w:ascii="Tahoma" w:eastAsia="Tahoma" w:hAnsi="Tahoma" w:cs="Tahoma"/>
          <w:sz w:val="22"/>
          <w:szCs w:val="22"/>
          <w:lang w:val="es-ES"/>
        </w:rPr>
      </w:pPr>
      <w:r w:rsidRPr="00A26803">
        <w:rPr>
          <w:rFonts w:ascii="Tahoma" w:eastAsia="Tahoma" w:hAnsi="Tahoma" w:cs="Tahoma"/>
          <w:b/>
          <w:sz w:val="22"/>
          <w:szCs w:val="22"/>
          <w:lang w:val="es-ES"/>
        </w:rPr>
        <w:t>Artículo 3°.-</w:t>
      </w:r>
      <w:r w:rsidR="003340CD">
        <w:rPr>
          <w:rFonts w:ascii="Tahoma" w:eastAsia="Tahoma" w:hAnsi="Tahoma" w:cs="Tahoma"/>
          <w:b/>
          <w:sz w:val="22"/>
          <w:szCs w:val="22"/>
          <w:lang w:val="es-ES"/>
        </w:rPr>
        <w:tab/>
      </w:r>
      <w:r w:rsidR="00264261" w:rsidRPr="00A26803">
        <w:rPr>
          <w:rFonts w:ascii="Tahoma" w:eastAsia="Tahoma" w:hAnsi="Tahoma" w:cs="Tahoma"/>
          <w:sz w:val="22"/>
          <w:szCs w:val="22"/>
          <w:lang w:val="es-ES"/>
        </w:rPr>
        <w:t xml:space="preserve">Establecer que en el caso de </w:t>
      </w:r>
      <w:r w:rsidR="006D4161" w:rsidRPr="00A26803">
        <w:rPr>
          <w:rFonts w:ascii="Tahoma" w:eastAsia="Tahoma" w:hAnsi="Tahoma" w:cs="Tahoma"/>
          <w:sz w:val="22"/>
          <w:szCs w:val="22"/>
          <w:lang w:val="es-ES"/>
        </w:rPr>
        <w:t xml:space="preserve">solicitudes de registro sanitario para </w:t>
      </w:r>
      <w:r w:rsidR="00264261" w:rsidRPr="00A26803">
        <w:rPr>
          <w:rFonts w:ascii="Tahoma" w:eastAsia="Tahoma" w:hAnsi="Tahoma" w:cs="Tahoma"/>
          <w:sz w:val="22"/>
          <w:szCs w:val="22"/>
          <w:lang w:val="es-ES"/>
        </w:rPr>
        <w:t xml:space="preserve">productos de higiene personal, cosméticos y perfumes clasificados por la DNVS como grado I, podrán solicitar la aprobación del plazo de validez de hasta </w:t>
      </w:r>
      <w:r w:rsidR="005876B0" w:rsidRPr="00A26803">
        <w:rPr>
          <w:rFonts w:ascii="Tahoma" w:eastAsia="Tahoma" w:hAnsi="Tahoma" w:cs="Tahoma"/>
          <w:sz w:val="22"/>
          <w:szCs w:val="22"/>
          <w:lang w:val="es-ES"/>
        </w:rPr>
        <w:t>veinticuatro (</w:t>
      </w:r>
      <w:r w:rsidR="00264261" w:rsidRPr="00A26803">
        <w:rPr>
          <w:rFonts w:ascii="Tahoma" w:eastAsia="Tahoma" w:hAnsi="Tahoma" w:cs="Tahoma"/>
          <w:sz w:val="22"/>
          <w:szCs w:val="22"/>
          <w:lang w:val="es-ES"/>
        </w:rPr>
        <w:t>24</w:t>
      </w:r>
      <w:r w:rsidR="005876B0" w:rsidRPr="00A26803">
        <w:rPr>
          <w:rFonts w:ascii="Tahoma" w:eastAsia="Tahoma" w:hAnsi="Tahoma" w:cs="Tahoma"/>
          <w:sz w:val="22"/>
          <w:szCs w:val="22"/>
          <w:lang w:val="es-ES"/>
        </w:rPr>
        <w:t>)</w:t>
      </w:r>
      <w:r w:rsidR="00264261" w:rsidRPr="00A26803">
        <w:rPr>
          <w:rFonts w:ascii="Tahoma" w:eastAsia="Tahoma" w:hAnsi="Tahoma" w:cs="Tahoma"/>
          <w:sz w:val="22"/>
          <w:szCs w:val="22"/>
          <w:lang w:val="es-ES"/>
        </w:rPr>
        <w:t xml:space="preserve"> meses sin perjuicio de la presentación de lo solicitado en </w:t>
      </w:r>
      <w:r w:rsidR="009063DD" w:rsidRPr="00A26803">
        <w:rPr>
          <w:rFonts w:ascii="Tahoma" w:eastAsia="Tahoma" w:hAnsi="Tahoma" w:cs="Tahoma"/>
          <w:sz w:val="22"/>
          <w:szCs w:val="22"/>
          <w:lang w:val="es-ES"/>
        </w:rPr>
        <w:t>el artículo anterior.</w:t>
      </w:r>
    </w:p>
    <w:p w:rsidR="009063DD" w:rsidRPr="00A26803" w:rsidRDefault="009063DD" w:rsidP="00A04E7A">
      <w:pPr>
        <w:autoSpaceDE w:val="0"/>
        <w:adjustRightInd w:val="0"/>
        <w:spacing w:line="276" w:lineRule="auto"/>
        <w:ind w:left="1560" w:hanging="1560"/>
        <w:jc w:val="both"/>
        <w:rPr>
          <w:rFonts w:ascii="Tahoma" w:eastAsia="Tahoma" w:hAnsi="Tahoma" w:cs="Tahoma"/>
          <w:sz w:val="22"/>
          <w:szCs w:val="22"/>
          <w:lang w:val="es-ES"/>
        </w:rPr>
      </w:pPr>
    </w:p>
    <w:p w:rsidR="009063DD" w:rsidRPr="00A26803" w:rsidRDefault="009063DD" w:rsidP="00A04E7A">
      <w:pPr>
        <w:autoSpaceDE w:val="0"/>
        <w:adjustRightInd w:val="0"/>
        <w:spacing w:line="276" w:lineRule="auto"/>
        <w:ind w:left="1560" w:hanging="1560"/>
        <w:jc w:val="both"/>
        <w:rPr>
          <w:rFonts w:ascii="Tahoma" w:eastAsia="Tahoma" w:hAnsi="Tahoma" w:cs="Tahoma"/>
          <w:sz w:val="22"/>
          <w:szCs w:val="22"/>
          <w:lang w:val="es-ES"/>
        </w:rPr>
      </w:pPr>
      <w:r w:rsidRPr="00A26803">
        <w:rPr>
          <w:rFonts w:ascii="Tahoma" w:eastAsia="Tahoma" w:hAnsi="Tahoma" w:cs="Tahoma"/>
          <w:sz w:val="22"/>
          <w:szCs w:val="22"/>
          <w:lang w:val="es-ES"/>
        </w:rPr>
        <w:tab/>
        <w:t>En caso de que la empresa solicite un plazo de validez del producto superior al expresado en el párrafo anterior, deberá acreditar la misma con los estudios respectivos del ANEXO I.</w:t>
      </w:r>
    </w:p>
    <w:p w:rsidR="00A04E7A" w:rsidRPr="00A26803" w:rsidRDefault="00A04E7A" w:rsidP="004106F4">
      <w:pPr>
        <w:jc w:val="both"/>
        <w:rPr>
          <w:rFonts w:ascii="Tahoma" w:hAnsi="Tahoma" w:cs="Tahoma"/>
          <w:sz w:val="22"/>
          <w:szCs w:val="22"/>
        </w:rPr>
      </w:pPr>
    </w:p>
    <w:p w:rsidR="00C2032C" w:rsidRPr="00A26803" w:rsidRDefault="004106F4" w:rsidP="009063DD">
      <w:pPr>
        <w:ind w:left="1560" w:hanging="1560"/>
        <w:jc w:val="both"/>
        <w:rPr>
          <w:rFonts w:ascii="Tahoma" w:eastAsia="Tahoma" w:hAnsi="Tahoma" w:cs="Tahoma"/>
          <w:sz w:val="22"/>
          <w:szCs w:val="22"/>
          <w:lang w:val="es-ES"/>
        </w:rPr>
      </w:pPr>
      <w:r w:rsidRPr="00A26803">
        <w:rPr>
          <w:rFonts w:ascii="Tahoma" w:eastAsia="Tahoma" w:hAnsi="Tahoma" w:cs="Tahoma"/>
          <w:b/>
          <w:sz w:val="22"/>
          <w:szCs w:val="22"/>
          <w:lang w:val="es-ES"/>
        </w:rPr>
        <w:t xml:space="preserve">Artículo </w:t>
      </w:r>
      <w:r w:rsidR="00A26803">
        <w:rPr>
          <w:rFonts w:ascii="Tahoma" w:eastAsia="Tahoma" w:hAnsi="Tahoma" w:cs="Tahoma"/>
          <w:b/>
          <w:sz w:val="22"/>
          <w:szCs w:val="22"/>
          <w:lang w:val="es-ES"/>
        </w:rPr>
        <w:t>4°</w:t>
      </w:r>
      <w:r w:rsidRPr="00A26803">
        <w:rPr>
          <w:rFonts w:ascii="Tahoma" w:eastAsia="Tahoma" w:hAnsi="Tahoma" w:cs="Tahoma"/>
          <w:b/>
          <w:sz w:val="22"/>
          <w:szCs w:val="22"/>
          <w:lang w:val="es-ES"/>
        </w:rPr>
        <w:t xml:space="preserve">. </w:t>
      </w:r>
      <w:r w:rsidR="00957131" w:rsidRPr="00A26803">
        <w:rPr>
          <w:rFonts w:ascii="Tahoma" w:eastAsia="Tahoma" w:hAnsi="Tahoma" w:cs="Tahoma"/>
          <w:sz w:val="22"/>
          <w:szCs w:val="22"/>
          <w:lang w:val="es-ES"/>
        </w:rPr>
        <w:t xml:space="preserve">La implementación se dará </w:t>
      </w:r>
      <w:r w:rsidR="00BF4AAD" w:rsidRPr="00A26803">
        <w:rPr>
          <w:rFonts w:ascii="Tahoma" w:eastAsia="Tahoma" w:hAnsi="Tahoma" w:cs="Tahoma"/>
          <w:sz w:val="22"/>
          <w:szCs w:val="22"/>
          <w:lang w:val="es-ES"/>
        </w:rPr>
        <w:t>a partir</w:t>
      </w:r>
      <w:r w:rsidR="00957131" w:rsidRPr="00A26803">
        <w:rPr>
          <w:rFonts w:ascii="Tahoma" w:eastAsia="Tahoma" w:hAnsi="Tahoma" w:cs="Tahoma"/>
          <w:sz w:val="22"/>
          <w:szCs w:val="22"/>
          <w:lang w:val="es-ES"/>
        </w:rPr>
        <w:t xml:space="preserve"> de la firma del</w:t>
      </w:r>
      <w:r w:rsidR="00BF4AAD" w:rsidRPr="00A26803">
        <w:rPr>
          <w:rFonts w:ascii="Tahoma" w:eastAsia="Tahoma" w:hAnsi="Tahoma" w:cs="Tahoma"/>
          <w:sz w:val="22"/>
          <w:szCs w:val="22"/>
          <w:lang w:val="es-ES"/>
        </w:rPr>
        <w:t>apresente resolución</w:t>
      </w:r>
      <w:r w:rsidR="00957131" w:rsidRPr="00A26803">
        <w:rPr>
          <w:rFonts w:ascii="Tahoma" w:eastAsia="Tahoma" w:hAnsi="Tahoma" w:cs="Tahoma"/>
          <w:sz w:val="22"/>
          <w:szCs w:val="22"/>
          <w:lang w:val="es-ES"/>
        </w:rPr>
        <w:t>.</w:t>
      </w:r>
    </w:p>
    <w:p w:rsidR="00C2032C" w:rsidRPr="00A26803" w:rsidRDefault="00957131" w:rsidP="004106F4">
      <w:pPr>
        <w:jc w:val="both"/>
        <w:rPr>
          <w:rFonts w:ascii="Tahoma" w:eastAsia="Tahoma" w:hAnsi="Tahoma" w:cs="Tahoma"/>
          <w:b/>
          <w:sz w:val="22"/>
          <w:szCs w:val="22"/>
          <w:lang w:val="es-ES"/>
        </w:rPr>
      </w:pPr>
      <w:r w:rsidRPr="00A26803">
        <w:rPr>
          <w:rFonts w:ascii="Tahoma" w:eastAsia="Tahoma" w:hAnsi="Tahoma" w:cs="Tahoma"/>
          <w:sz w:val="22"/>
          <w:szCs w:val="22"/>
          <w:lang w:val="es-ES"/>
        </w:rPr>
        <w:tab/>
      </w:r>
      <w:r w:rsidRPr="00A26803">
        <w:rPr>
          <w:rFonts w:ascii="Tahoma" w:eastAsia="Tahoma" w:hAnsi="Tahoma" w:cs="Tahoma"/>
          <w:sz w:val="22"/>
          <w:szCs w:val="22"/>
          <w:lang w:val="es-ES"/>
        </w:rPr>
        <w:tab/>
      </w:r>
    </w:p>
    <w:p w:rsidR="004106F4" w:rsidRPr="00A26803" w:rsidRDefault="00C2032C" w:rsidP="004106F4">
      <w:pPr>
        <w:jc w:val="both"/>
        <w:rPr>
          <w:rFonts w:ascii="Tahoma" w:hAnsi="Tahoma" w:cs="Tahoma"/>
          <w:sz w:val="22"/>
          <w:szCs w:val="22"/>
          <w:lang w:val="es-ES"/>
        </w:rPr>
      </w:pPr>
      <w:r w:rsidRPr="00A26803">
        <w:rPr>
          <w:rFonts w:ascii="Tahoma" w:eastAsia="Tahoma" w:hAnsi="Tahoma" w:cs="Tahoma"/>
          <w:b/>
          <w:sz w:val="22"/>
          <w:szCs w:val="22"/>
          <w:lang w:val="es-ES"/>
        </w:rPr>
        <w:t xml:space="preserve">Artículo </w:t>
      </w:r>
      <w:r w:rsidR="00A26803">
        <w:rPr>
          <w:rFonts w:ascii="Tahoma" w:eastAsia="Tahoma" w:hAnsi="Tahoma" w:cs="Tahoma"/>
          <w:b/>
          <w:sz w:val="22"/>
          <w:szCs w:val="22"/>
          <w:lang w:val="es-ES"/>
        </w:rPr>
        <w:t>5°</w:t>
      </w:r>
      <w:r w:rsidRPr="00A26803">
        <w:rPr>
          <w:rFonts w:ascii="Tahoma" w:eastAsia="Tahoma" w:hAnsi="Tahoma" w:cs="Tahoma"/>
          <w:b/>
          <w:sz w:val="22"/>
          <w:szCs w:val="22"/>
          <w:lang w:val="es-ES"/>
        </w:rPr>
        <w:t xml:space="preserve">. </w:t>
      </w:r>
      <w:r w:rsidR="004106F4" w:rsidRPr="00A26803">
        <w:rPr>
          <w:rFonts w:ascii="Tahoma" w:eastAsia="Tahoma" w:hAnsi="Tahoma" w:cs="Tahoma"/>
          <w:sz w:val="22"/>
          <w:szCs w:val="22"/>
          <w:lang w:val="es-ES"/>
        </w:rPr>
        <w:t>Comunicar a quienes corresponda y cumplido, archivar.</w:t>
      </w:r>
    </w:p>
    <w:p w:rsidR="00ED0706" w:rsidRPr="00A26803" w:rsidRDefault="00ED0706" w:rsidP="00050F50">
      <w:pPr>
        <w:pStyle w:val="Standard"/>
        <w:spacing w:line="276" w:lineRule="auto"/>
        <w:jc w:val="both"/>
        <w:rPr>
          <w:rFonts w:ascii="Tahoma" w:eastAsia="Tahoma" w:hAnsi="Tahoma" w:cs="Tahoma"/>
          <w:sz w:val="22"/>
          <w:szCs w:val="22"/>
          <w:lang w:val="es-ES"/>
        </w:rPr>
      </w:pPr>
    </w:p>
    <w:p w:rsidR="00ED0706" w:rsidRPr="00A26803" w:rsidRDefault="00ED0706" w:rsidP="00050F50">
      <w:pPr>
        <w:pStyle w:val="Standard"/>
        <w:spacing w:line="276" w:lineRule="auto"/>
        <w:jc w:val="both"/>
        <w:rPr>
          <w:rFonts w:ascii="Tahoma" w:eastAsia="Tahoma" w:hAnsi="Tahoma" w:cs="Tahoma"/>
          <w:sz w:val="22"/>
          <w:szCs w:val="22"/>
        </w:rPr>
      </w:pPr>
    </w:p>
    <w:p w:rsidR="006D4161" w:rsidRPr="00A26803" w:rsidRDefault="006D4161" w:rsidP="00050F50">
      <w:pPr>
        <w:pStyle w:val="Standard"/>
        <w:spacing w:line="276" w:lineRule="auto"/>
        <w:jc w:val="both"/>
        <w:rPr>
          <w:rFonts w:ascii="Tahoma" w:eastAsia="Tahoma" w:hAnsi="Tahoma" w:cs="Tahoma"/>
          <w:sz w:val="22"/>
          <w:szCs w:val="22"/>
        </w:rPr>
      </w:pPr>
    </w:p>
    <w:p w:rsidR="00ED0706" w:rsidRPr="00A26803" w:rsidRDefault="00ED0706" w:rsidP="00050F50">
      <w:pPr>
        <w:pStyle w:val="Standard"/>
        <w:spacing w:line="276" w:lineRule="auto"/>
        <w:ind w:left="981" w:firstLine="720"/>
        <w:jc w:val="center"/>
        <w:rPr>
          <w:rFonts w:ascii="Tahoma" w:eastAsia="Tahoma" w:hAnsi="Tahoma" w:cs="Tahoma"/>
          <w:b/>
          <w:sz w:val="22"/>
          <w:szCs w:val="22"/>
        </w:rPr>
      </w:pPr>
    </w:p>
    <w:p w:rsidR="00ED0706" w:rsidRPr="00A26803" w:rsidRDefault="00ED0706" w:rsidP="00050F50">
      <w:pPr>
        <w:pStyle w:val="Standard"/>
        <w:spacing w:line="276" w:lineRule="auto"/>
        <w:ind w:left="2880" w:firstLine="720"/>
        <w:jc w:val="center"/>
        <w:rPr>
          <w:rFonts w:ascii="Tahoma" w:eastAsia="Tahoma" w:hAnsi="Tahoma" w:cs="Tahoma"/>
          <w:b/>
          <w:sz w:val="22"/>
          <w:szCs w:val="22"/>
          <w:lang w:val="it-IT"/>
        </w:rPr>
      </w:pPr>
      <w:r w:rsidRPr="00A26803">
        <w:rPr>
          <w:rFonts w:ascii="Tahoma" w:eastAsia="Tahoma" w:hAnsi="Tahoma" w:cs="Tahoma"/>
          <w:b/>
          <w:sz w:val="22"/>
          <w:szCs w:val="22"/>
          <w:lang w:val="it-IT"/>
        </w:rPr>
        <w:t xml:space="preserve">DR. JULIO </w:t>
      </w:r>
      <w:r w:rsidR="00F0418C">
        <w:rPr>
          <w:rFonts w:ascii="Tahoma" w:eastAsia="Tahoma" w:hAnsi="Tahoma" w:cs="Tahoma"/>
          <w:b/>
          <w:sz w:val="22"/>
          <w:szCs w:val="22"/>
          <w:lang w:val="it-IT"/>
        </w:rPr>
        <w:t>CÉSAR BORBA VARGAS</w:t>
      </w:r>
    </w:p>
    <w:p w:rsidR="00553226" w:rsidRPr="00A26803" w:rsidRDefault="00ED0706" w:rsidP="00BF4AAD">
      <w:pPr>
        <w:pStyle w:val="Standard"/>
        <w:spacing w:line="276" w:lineRule="auto"/>
        <w:jc w:val="both"/>
        <w:rPr>
          <w:rFonts w:ascii="Tahoma" w:hAnsi="Tahoma" w:cs="Tahoma"/>
          <w:sz w:val="22"/>
          <w:szCs w:val="22"/>
          <w:lang w:val="it-IT"/>
        </w:rPr>
      </w:pPr>
      <w:r w:rsidRPr="00A26803">
        <w:rPr>
          <w:rFonts w:ascii="Tahoma" w:eastAsia="Tahoma" w:hAnsi="Tahoma" w:cs="Tahoma"/>
          <w:b/>
          <w:sz w:val="22"/>
          <w:szCs w:val="22"/>
          <w:lang w:val="it-IT"/>
        </w:rPr>
        <w:tab/>
      </w:r>
      <w:r w:rsidRPr="00A26803">
        <w:rPr>
          <w:rFonts w:ascii="Tahoma" w:eastAsia="Tahoma" w:hAnsi="Tahoma" w:cs="Tahoma"/>
          <w:b/>
          <w:sz w:val="22"/>
          <w:szCs w:val="22"/>
          <w:lang w:val="it-IT"/>
        </w:rPr>
        <w:tab/>
      </w:r>
      <w:r w:rsidRPr="00A26803">
        <w:rPr>
          <w:rFonts w:ascii="Tahoma" w:eastAsia="Tahoma" w:hAnsi="Tahoma" w:cs="Tahoma"/>
          <w:b/>
          <w:sz w:val="22"/>
          <w:szCs w:val="22"/>
          <w:lang w:val="it-IT"/>
        </w:rPr>
        <w:tab/>
      </w:r>
      <w:r w:rsidRPr="00A26803">
        <w:rPr>
          <w:rFonts w:ascii="Tahoma" w:eastAsia="Tahoma" w:hAnsi="Tahoma" w:cs="Tahoma"/>
          <w:b/>
          <w:sz w:val="22"/>
          <w:szCs w:val="22"/>
          <w:lang w:val="it-IT"/>
        </w:rPr>
        <w:tab/>
      </w:r>
      <w:r w:rsidRPr="00A26803">
        <w:rPr>
          <w:rFonts w:ascii="Tahoma" w:eastAsia="Tahoma" w:hAnsi="Tahoma" w:cs="Tahoma"/>
          <w:b/>
          <w:sz w:val="22"/>
          <w:szCs w:val="22"/>
          <w:lang w:val="it-IT"/>
        </w:rPr>
        <w:tab/>
      </w:r>
      <w:r w:rsidRPr="00A26803">
        <w:rPr>
          <w:rFonts w:ascii="Tahoma" w:eastAsia="Tahoma" w:hAnsi="Tahoma" w:cs="Tahoma"/>
          <w:b/>
          <w:sz w:val="22"/>
          <w:szCs w:val="22"/>
          <w:lang w:val="it-IT"/>
        </w:rPr>
        <w:tab/>
        <w:t xml:space="preserve">                          MINISTRO</w:t>
      </w:r>
    </w:p>
    <w:sectPr w:rsidR="00553226" w:rsidRPr="00A26803" w:rsidSect="00ED0706">
      <w:headerReference w:type="default" r:id="rId8"/>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227" w:rsidRDefault="00837227" w:rsidP="00ED0706">
      <w:r>
        <w:separator/>
      </w:r>
    </w:p>
  </w:endnote>
  <w:endnote w:type="continuationSeparator" w:id="0">
    <w:p w:rsidR="00837227" w:rsidRDefault="00837227" w:rsidP="00ED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Pinyon Scrip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227" w:rsidRDefault="00837227" w:rsidP="00ED0706">
      <w:r>
        <w:separator/>
      </w:r>
    </w:p>
  </w:footnote>
  <w:footnote w:type="continuationSeparator" w:id="0">
    <w:p w:rsidR="00837227" w:rsidRDefault="00837227" w:rsidP="00ED0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706" w:rsidRDefault="00ED0706" w:rsidP="00ED0706">
    <w:pPr>
      <w:pStyle w:val="Standard"/>
      <w:widowControl/>
      <w:tabs>
        <w:tab w:val="center" w:pos="4252"/>
        <w:tab w:val="right" w:pos="8504"/>
      </w:tabs>
      <w:jc w:val="center"/>
      <w:rPr>
        <w:rFonts w:ascii="Pinyon Script" w:eastAsia="Pinyon Script" w:hAnsi="Pinyon Script" w:cs="Pinyon Script"/>
        <w:i/>
        <w:color w:val="000000"/>
        <w:sz w:val="28"/>
        <w:szCs w:val="28"/>
      </w:rPr>
    </w:pPr>
    <w:r>
      <w:rPr>
        <w:rFonts w:ascii="Pinyon Script" w:eastAsia="Pinyon Script" w:hAnsi="Pinyon Script" w:cs="Pinyon Script"/>
        <w:i/>
        <w:color w:val="000000"/>
        <w:sz w:val="28"/>
        <w:szCs w:val="28"/>
      </w:rPr>
      <w:t>“Sesquicentenario de la Epopeya Nacional: 1864 – 1870”</w:t>
    </w:r>
  </w:p>
  <w:p w:rsidR="00ED0706" w:rsidRDefault="00ED0706" w:rsidP="00ED0706">
    <w:pPr>
      <w:pStyle w:val="Standard"/>
      <w:widowControl/>
      <w:jc w:val="center"/>
      <w:rPr>
        <w:rFonts w:ascii="Times New Roman" w:eastAsia="Times New Roman" w:hAnsi="Times New Roman" w:cs="Times New Roman"/>
        <w:i/>
        <w:color w:val="000000"/>
        <w:sz w:val="22"/>
        <w:szCs w:val="22"/>
      </w:rPr>
    </w:pPr>
  </w:p>
  <w:p w:rsidR="00ED0706" w:rsidRDefault="00ED0706" w:rsidP="00ED0706">
    <w:pPr>
      <w:pStyle w:val="Standard"/>
      <w:widowControl/>
      <w:jc w:val="center"/>
    </w:pPr>
    <w:r>
      <w:rPr>
        <w:noProof/>
        <w:lang w:eastAsia="es-PY" w:bidi="ar-SA"/>
      </w:rPr>
      <w:drawing>
        <wp:inline distT="0" distB="0" distL="0" distR="0">
          <wp:extent cx="586740" cy="532130"/>
          <wp:effectExtent l="19050" t="0" r="381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
                  <a:srcRect/>
                  <a:stretch>
                    <a:fillRect/>
                  </a:stretch>
                </pic:blipFill>
                <pic:spPr bwMode="auto">
                  <a:xfrm>
                    <a:off x="0" y="0"/>
                    <a:ext cx="586740" cy="532130"/>
                  </a:xfrm>
                  <a:prstGeom prst="rect">
                    <a:avLst/>
                  </a:prstGeom>
                  <a:noFill/>
                  <a:ln w="9525">
                    <a:noFill/>
                    <a:miter lim="800000"/>
                    <a:headEnd/>
                    <a:tailEnd/>
                  </a:ln>
                </pic:spPr>
              </pic:pic>
            </a:graphicData>
          </a:graphic>
        </wp:inline>
      </w:drawing>
    </w:r>
  </w:p>
  <w:p w:rsidR="00ED0706" w:rsidRDefault="00ED0706" w:rsidP="00ED0706">
    <w:pPr>
      <w:pStyle w:val="Standard"/>
      <w:widowControl/>
      <w:jc w:val="center"/>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Poder Ejecutivo</w:t>
    </w:r>
  </w:p>
  <w:p w:rsidR="00ED0706" w:rsidRDefault="00ED0706" w:rsidP="00ED0706">
    <w:pPr>
      <w:pStyle w:val="Standard"/>
      <w:widowControl/>
      <w:jc w:val="center"/>
    </w:pPr>
    <w:r>
      <w:rPr>
        <w:rFonts w:ascii="Times New Roman" w:eastAsia="Times New Roman" w:hAnsi="Times New Roman" w:cs="Times New Roman"/>
        <w:b/>
        <w:i/>
        <w:color w:val="000000"/>
        <w:sz w:val="22"/>
        <w:szCs w:val="22"/>
      </w:rPr>
      <w:t>Ministerio de Salud Pública y Bienestar Social</w:t>
    </w:r>
  </w:p>
  <w:p w:rsidR="00ED0706" w:rsidRDefault="00ED0706" w:rsidP="00ED0706">
    <w:pPr>
      <w:pStyle w:val="Standard"/>
      <w:keepNext/>
      <w:widowControl/>
      <w:numPr>
        <w:ilvl w:val="0"/>
        <w:numId w:val="1"/>
      </w:numPr>
      <w:jc w:val="center"/>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Resolución S.G. N°_______</w:t>
    </w:r>
  </w:p>
  <w:p w:rsidR="00ED0706" w:rsidRDefault="00ED0706" w:rsidP="00ED0706">
    <w:pPr>
      <w:pStyle w:val="Standard"/>
      <w:numPr>
        <w:ilvl w:val="0"/>
        <w:numId w:val="1"/>
      </w:numPr>
      <w:jc w:val="both"/>
    </w:pPr>
  </w:p>
  <w:p w:rsidR="004106F4" w:rsidRPr="004106F4" w:rsidRDefault="004106F4" w:rsidP="00F36F28">
    <w:pPr>
      <w:pStyle w:val="Prrafodelista"/>
      <w:ind w:left="0"/>
      <w:jc w:val="both"/>
      <w:rPr>
        <w:rFonts w:ascii="Tahoma" w:eastAsia="Tahoma" w:hAnsi="Tahoma" w:cs="Tahoma"/>
        <w:b/>
        <w:sz w:val="22"/>
        <w:szCs w:val="22"/>
        <w:lang w:val="es-ES"/>
      </w:rPr>
    </w:pPr>
    <w:r w:rsidRPr="004106F4">
      <w:rPr>
        <w:rFonts w:ascii="Tahoma" w:eastAsia="Tahoma" w:hAnsi="Tahoma" w:cs="Tahoma"/>
        <w:b/>
        <w:sz w:val="22"/>
        <w:szCs w:val="22"/>
        <w:lang w:val="es-ES"/>
      </w:rPr>
      <w:t xml:space="preserve">POR LA CUAL SE </w:t>
    </w:r>
    <w:r w:rsidR="00AC07B2">
      <w:rPr>
        <w:rFonts w:ascii="Tahoma" w:eastAsia="Tahoma" w:hAnsi="Tahoma" w:cs="Tahoma"/>
        <w:b/>
        <w:sz w:val="22"/>
        <w:szCs w:val="22"/>
        <w:lang w:val="es-ES"/>
      </w:rPr>
      <w:t>ESTABLECEN LOS REQUISITOS TÉCNICOS PARA ESTUDIOS DE ESTABILIDAD DE PRODUCTOS PARA LA SALUD CONSIDERADOS PRODUCTOS DE HIGIENE PERSONAL, COSMÉTICOS Y PERFUMES</w:t>
    </w:r>
    <w:r w:rsidR="00231E7B">
      <w:rPr>
        <w:rFonts w:ascii="Tahoma" w:eastAsia="Tahoma" w:hAnsi="Tahoma" w:cs="Tahoma"/>
        <w:b/>
        <w:sz w:val="22"/>
        <w:szCs w:val="22"/>
        <w:lang w:val="es-ES"/>
      </w:rPr>
      <w:t>.</w:t>
    </w:r>
  </w:p>
  <w:p w:rsidR="00ED0706" w:rsidRPr="004106F4" w:rsidRDefault="00ED0706" w:rsidP="00ED0706">
    <w:pPr>
      <w:spacing w:line="292" w:lineRule="auto"/>
      <w:jc w:val="both"/>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B5521"/>
    <w:multiLevelType w:val="multilevel"/>
    <w:tmpl w:val="2B54AC2A"/>
    <w:styleLink w:val="WWNum1"/>
    <w:lvl w:ilvl="0">
      <w:start w:val="1"/>
      <w:numFmt w:val="none"/>
      <w:lvlText w:val="%1​"/>
      <w:lvlJc w:val="left"/>
      <w:pPr>
        <w:ind w:left="432" w:hanging="432"/>
      </w:pPr>
      <w:rPr>
        <w:rFonts w:ascii="Times New Roman" w:hAnsi="Times New Roman"/>
        <w:b w:val="0"/>
        <w:position w:val="0"/>
        <w:sz w:val="20"/>
        <w:vertAlign w:val="baseline"/>
      </w:rPr>
    </w:lvl>
    <w:lvl w:ilvl="1">
      <w:start w:val="1"/>
      <w:numFmt w:val="none"/>
      <w:lvlText w:val="%2​"/>
      <w:lvlJc w:val="left"/>
      <w:pPr>
        <w:ind w:left="576" w:hanging="576"/>
      </w:pPr>
      <w:rPr>
        <w:position w:val="0"/>
        <w:vertAlign w:val="baseline"/>
      </w:rPr>
    </w:lvl>
    <w:lvl w:ilvl="2">
      <w:start w:val="1"/>
      <w:numFmt w:val="none"/>
      <w:lvlText w:val="%3​"/>
      <w:lvlJc w:val="left"/>
      <w:pPr>
        <w:ind w:left="720" w:hanging="720"/>
      </w:pPr>
      <w:rPr>
        <w:position w:val="0"/>
        <w:vertAlign w:val="baseline"/>
      </w:rPr>
    </w:lvl>
    <w:lvl w:ilvl="3">
      <w:start w:val="1"/>
      <w:numFmt w:val="none"/>
      <w:lvlText w:val="%4​"/>
      <w:lvlJc w:val="left"/>
      <w:pPr>
        <w:ind w:left="864" w:hanging="864"/>
      </w:pPr>
      <w:rPr>
        <w:position w:val="0"/>
        <w:vertAlign w:val="baseline"/>
      </w:rPr>
    </w:lvl>
    <w:lvl w:ilvl="4">
      <w:start w:val="1"/>
      <w:numFmt w:val="none"/>
      <w:lvlText w:val="%5​"/>
      <w:lvlJc w:val="left"/>
      <w:pPr>
        <w:ind w:left="1008" w:hanging="1008"/>
      </w:pPr>
      <w:rPr>
        <w:position w:val="0"/>
        <w:vertAlign w:val="baseline"/>
      </w:rPr>
    </w:lvl>
    <w:lvl w:ilvl="5">
      <w:start w:val="1"/>
      <w:numFmt w:val="none"/>
      <w:lvlText w:val="%6​"/>
      <w:lvlJc w:val="left"/>
      <w:pPr>
        <w:ind w:left="1152" w:hanging="1152"/>
      </w:pPr>
      <w:rPr>
        <w:position w:val="0"/>
        <w:vertAlign w:val="baseline"/>
      </w:rPr>
    </w:lvl>
    <w:lvl w:ilvl="6">
      <w:start w:val="1"/>
      <w:numFmt w:val="none"/>
      <w:lvlText w:val="%7​"/>
      <w:lvlJc w:val="left"/>
      <w:pPr>
        <w:ind w:left="1296" w:hanging="1296"/>
      </w:pPr>
      <w:rPr>
        <w:position w:val="0"/>
        <w:vertAlign w:val="baseline"/>
      </w:rPr>
    </w:lvl>
    <w:lvl w:ilvl="7">
      <w:start w:val="1"/>
      <w:numFmt w:val="none"/>
      <w:lvlText w:val="%8​"/>
      <w:lvlJc w:val="left"/>
      <w:pPr>
        <w:ind w:left="1440" w:hanging="1440"/>
      </w:pPr>
      <w:rPr>
        <w:position w:val="0"/>
        <w:vertAlign w:val="baseline"/>
      </w:rPr>
    </w:lvl>
    <w:lvl w:ilvl="8">
      <w:start w:val="1"/>
      <w:numFmt w:val="none"/>
      <w:lvlText w:val="%9​"/>
      <w:lvlJc w:val="left"/>
      <w:pPr>
        <w:ind w:left="1584" w:hanging="1584"/>
      </w:pPr>
      <w:rPr>
        <w:position w:val="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06"/>
    <w:rsid w:val="00002613"/>
    <w:rsid w:val="000454D5"/>
    <w:rsid w:val="0004567A"/>
    <w:rsid w:val="000471AE"/>
    <w:rsid w:val="00050F50"/>
    <w:rsid w:val="00067A0E"/>
    <w:rsid w:val="00071DDC"/>
    <w:rsid w:val="00075440"/>
    <w:rsid w:val="000770BF"/>
    <w:rsid w:val="0009420E"/>
    <w:rsid w:val="000C7558"/>
    <w:rsid w:val="000D2974"/>
    <w:rsid w:val="000D2E0E"/>
    <w:rsid w:val="00141F96"/>
    <w:rsid w:val="001547FE"/>
    <w:rsid w:val="00183329"/>
    <w:rsid w:val="0018546F"/>
    <w:rsid w:val="001937F5"/>
    <w:rsid w:val="0019748B"/>
    <w:rsid w:val="001F3CF3"/>
    <w:rsid w:val="0020309C"/>
    <w:rsid w:val="00231E7B"/>
    <w:rsid w:val="00264261"/>
    <w:rsid w:val="00290C97"/>
    <w:rsid w:val="00295DB0"/>
    <w:rsid w:val="002B1D3A"/>
    <w:rsid w:val="002B38B4"/>
    <w:rsid w:val="002C2E19"/>
    <w:rsid w:val="002F5BD9"/>
    <w:rsid w:val="00326F91"/>
    <w:rsid w:val="003302A2"/>
    <w:rsid w:val="003340CD"/>
    <w:rsid w:val="0033646D"/>
    <w:rsid w:val="003424F5"/>
    <w:rsid w:val="00351FFA"/>
    <w:rsid w:val="0036333F"/>
    <w:rsid w:val="00376693"/>
    <w:rsid w:val="003914D3"/>
    <w:rsid w:val="003A6BB2"/>
    <w:rsid w:val="003B5397"/>
    <w:rsid w:val="003C3AC3"/>
    <w:rsid w:val="003D24C7"/>
    <w:rsid w:val="004106F4"/>
    <w:rsid w:val="00434DC8"/>
    <w:rsid w:val="004354E0"/>
    <w:rsid w:val="00437DDB"/>
    <w:rsid w:val="00440C9E"/>
    <w:rsid w:val="00446649"/>
    <w:rsid w:val="004725F9"/>
    <w:rsid w:val="004871D5"/>
    <w:rsid w:val="00492B72"/>
    <w:rsid w:val="004B74AA"/>
    <w:rsid w:val="004E13A1"/>
    <w:rsid w:val="004E16F4"/>
    <w:rsid w:val="004E1D2E"/>
    <w:rsid w:val="00537CEE"/>
    <w:rsid w:val="005442E2"/>
    <w:rsid w:val="00550FEB"/>
    <w:rsid w:val="00553226"/>
    <w:rsid w:val="00553AE3"/>
    <w:rsid w:val="00553C7B"/>
    <w:rsid w:val="00571779"/>
    <w:rsid w:val="005717D5"/>
    <w:rsid w:val="00582806"/>
    <w:rsid w:val="00586F65"/>
    <w:rsid w:val="005876B0"/>
    <w:rsid w:val="00595AC9"/>
    <w:rsid w:val="005C7E45"/>
    <w:rsid w:val="005F0F1D"/>
    <w:rsid w:val="0060211C"/>
    <w:rsid w:val="00651E87"/>
    <w:rsid w:val="0069271C"/>
    <w:rsid w:val="006A4DAB"/>
    <w:rsid w:val="006A5334"/>
    <w:rsid w:val="006B27E5"/>
    <w:rsid w:val="006B3939"/>
    <w:rsid w:val="006D4161"/>
    <w:rsid w:val="006F2118"/>
    <w:rsid w:val="00732A9E"/>
    <w:rsid w:val="007375C2"/>
    <w:rsid w:val="007408ED"/>
    <w:rsid w:val="00765EDD"/>
    <w:rsid w:val="007868DE"/>
    <w:rsid w:val="007B17C3"/>
    <w:rsid w:val="007C51A8"/>
    <w:rsid w:val="007D0229"/>
    <w:rsid w:val="007E40CF"/>
    <w:rsid w:val="00837227"/>
    <w:rsid w:val="008A5ACC"/>
    <w:rsid w:val="008C14ED"/>
    <w:rsid w:val="008F7F29"/>
    <w:rsid w:val="00900D5F"/>
    <w:rsid w:val="009063DD"/>
    <w:rsid w:val="00957131"/>
    <w:rsid w:val="009576CF"/>
    <w:rsid w:val="00970D18"/>
    <w:rsid w:val="0098237C"/>
    <w:rsid w:val="009868EC"/>
    <w:rsid w:val="009A6287"/>
    <w:rsid w:val="009B02CC"/>
    <w:rsid w:val="009C15D8"/>
    <w:rsid w:val="009F410B"/>
    <w:rsid w:val="00A04E7A"/>
    <w:rsid w:val="00A26803"/>
    <w:rsid w:val="00A31FE2"/>
    <w:rsid w:val="00A40A07"/>
    <w:rsid w:val="00A62541"/>
    <w:rsid w:val="00A66CFC"/>
    <w:rsid w:val="00A9158E"/>
    <w:rsid w:val="00AB1401"/>
    <w:rsid w:val="00AC07B2"/>
    <w:rsid w:val="00AC4A9F"/>
    <w:rsid w:val="00AC56BF"/>
    <w:rsid w:val="00AD5239"/>
    <w:rsid w:val="00B01E77"/>
    <w:rsid w:val="00B23CE5"/>
    <w:rsid w:val="00B437C7"/>
    <w:rsid w:val="00B66A9A"/>
    <w:rsid w:val="00B868E4"/>
    <w:rsid w:val="00BD5819"/>
    <w:rsid w:val="00BE15BA"/>
    <w:rsid w:val="00BE1A40"/>
    <w:rsid w:val="00BF4AAD"/>
    <w:rsid w:val="00C0085F"/>
    <w:rsid w:val="00C0607D"/>
    <w:rsid w:val="00C2032C"/>
    <w:rsid w:val="00C46498"/>
    <w:rsid w:val="00C47899"/>
    <w:rsid w:val="00C509B3"/>
    <w:rsid w:val="00C52581"/>
    <w:rsid w:val="00C95C87"/>
    <w:rsid w:val="00C9638A"/>
    <w:rsid w:val="00CB2EDD"/>
    <w:rsid w:val="00CB62C5"/>
    <w:rsid w:val="00D1618C"/>
    <w:rsid w:val="00D275EA"/>
    <w:rsid w:val="00D41A04"/>
    <w:rsid w:val="00D624C1"/>
    <w:rsid w:val="00DA3322"/>
    <w:rsid w:val="00DE345E"/>
    <w:rsid w:val="00E017D1"/>
    <w:rsid w:val="00E36096"/>
    <w:rsid w:val="00E70D56"/>
    <w:rsid w:val="00E9168F"/>
    <w:rsid w:val="00E9271F"/>
    <w:rsid w:val="00EA5A1C"/>
    <w:rsid w:val="00ED0706"/>
    <w:rsid w:val="00EF15DC"/>
    <w:rsid w:val="00F01B77"/>
    <w:rsid w:val="00F0418C"/>
    <w:rsid w:val="00F17B8A"/>
    <w:rsid w:val="00F36F28"/>
    <w:rsid w:val="00F81E58"/>
    <w:rsid w:val="00FF2CEF"/>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E5A8AD-EDDC-4860-BA9E-05F7884B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D0706"/>
    <w:pPr>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0706"/>
    <w:pPr>
      <w:tabs>
        <w:tab w:val="center" w:pos="4419"/>
        <w:tab w:val="right" w:pos="8838"/>
      </w:tabs>
      <w:suppressAutoHyphens w:val="0"/>
      <w:autoSpaceDN/>
      <w:textAlignment w:val="auto"/>
    </w:pPr>
    <w:rPr>
      <w:rFonts w:asciiTheme="minorHAnsi" w:eastAsiaTheme="minorHAnsi" w:hAnsiTheme="minorHAnsi" w:cstheme="minorBidi"/>
      <w:sz w:val="22"/>
      <w:szCs w:val="22"/>
      <w:lang w:eastAsia="en-US" w:bidi="ar-SA"/>
    </w:rPr>
  </w:style>
  <w:style w:type="character" w:customStyle="1" w:styleId="EncabezadoCar">
    <w:name w:val="Encabezado Car"/>
    <w:basedOn w:val="Fuentedeprrafopredeter"/>
    <w:link w:val="Encabezado"/>
    <w:uiPriority w:val="99"/>
    <w:rsid w:val="00ED0706"/>
  </w:style>
  <w:style w:type="paragraph" w:styleId="Piedepgina">
    <w:name w:val="footer"/>
    <w:basedOn w:val="Normal"/>
    <w:link w:val="PiedepginaCar"/>
    <w:uiPriority w:val="99"/>
    <w:unhideWhenUsed/>
    <w:rsid w:val="00ED0706"/>
    <w:pPr>
      <w:tabs>
        <w:tab w:val="center" w:pos="4419"/>
        <w:tab w:val="right" w:pos="8838"/>
      </w:tabs>
      <w:suppressAutoHyphens w:val="0"/>
      <w:autoSpaceDN/>
      <w:textAlignment w:val="auto"/>
    </w:pPr>
    <w:rPr>
      <w:rFonts w:asciiTheme="minorHAnsi" w:eastAsiaTheme="minorHAnsi" w:hAnsiTheme="minorHAnsi" w:cstheme="minorBidi"/>
      <w:sz w:val="22"/>
      <w:szCs w:val="22"/>
      <w:lang w:eastAsia="en-US" w:bidi="ar-SA"/>
    </w:rPr>
  </w:style>
  <w:style w:type="character" w:customStyle="1" w:styleId="PiedepginaCar">
    <w:name w:val="Pie de página Car"/>
    <w:basedOn w:val="Fuentedeprrafopredeter"/>
    <w:link w:val="Piedepgina"/>
    <w:uiPriority w:val="99"/>
    <w:rsid w:val="00ED0706"/>
  </w:style>
  <w:style w:type="paragraph" w:styleId="Textodeglobo">
    <w:name w:val="Balloon Text"/>
    <w:basedOn w:val="Normal"/>
    <w:link w:val="TextodegloboCar"/>
    <w:uiPriority w:val="99"/>
    <w:semiHidden/>
    <w:unhideWhenUsed/>
    <w:rsid w:val="00ED0706"/>
    <w:pPr>
      <w:suppressAutoHyphens w:val="0"/>
      <w:autoSpaceDN/>
      <w:textAlignment w:val="auto"/>
    </w:pPr>
    <w:rPr>
      <w:rFonts w:ascii="Tahoma" w:eastAsiaTheme="minorHAnsi" w:hAnsi="Tahoma" w:cs="Tahoma"/>
      <w:sz w:val="16"/>
      <w:szCs w:val="16"/>
      <w:lang w:eastAsia="en-US" w:bidi="ar-SA"/>
    </w:rPr>
  </w:style>
  <w:style w:type="character" w:customStyle="1" w:styleId="TextodegloboCar">
    <w:name w:val="Texto de globo Car"/>
    <w:basedOn w:val="Fuentedeprrafopredeter"/>
    <w:link w:val="Textodeglobo"/>
    <w:uiPriority w:val="99"/>
    <w:semiHidden/>
    <w:rsid w:val="00ED0706"/>
    <w:rPr>
      <w:rFonts w:ascii="Tahoma" w:hAnsi="Tahoma" w:cs="Tahoma"/>
      <w:sz w:val="16"/>
      <w:szCs w:val="16"/>
    </w:rPr>
  </w:style>
  <w:style w:type="paragraph" w:customStyle="1" w:styleId="Standard">
    <w:name w:val="Standard"/>
    <w:rsid w:val="00ED0706"/>
    <w:pPr>
      <w:widowControl w:val="0"/>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numbering" w:customStyle="1" w:styleId="WWNum1">
    <w:name w:val="WWNum1"/>
    <w:basedOn w:val="Sinlista"/>
    <w:rsid w:val="00ED0706"/>
    <w:pPr>
      <w:numPr>
        <w:numId w:val="1"/>
      </w:numPr>
    </w:pPr>
  </w:style>
  <w:style w:type="character" w:styleId="Textoennegrita">
    <w:name w:val="Strong"/>
    <w:rsid w:val="00ED0706"/>
    <w:rPr>
      <w:b/>
      <w:bCs/>
    </w:rPr>
  </w:style>
  <w:style w:type="paragraph" w:styleId="NormalWeb">
    <w:name w:val="Normal (Web)"/>
    <w:basedOn w:val="Normal"/>
    <w:rsid w:val="00ED0706"/>
    <w:pPr>
      <w:suppressAutoHyphens w:val="0"/>
      <w:spacing w:before="100" w:after="100"/>
      <w:textAlignment w:val="auto"/>
    </w:pPr>
    <w:rPr>
      <w:rFonts w:ascii="Arial Unicode MS" w:eastAsia="Arial Unicode MS" w:hAnsi="Arial Unicode MS" w:cs="Arial Unicode MS"/>
      <w:color w:val="003366"/>
      <w:sz w:val="24"/>
      <w:szCs w:val="24"/>
      <w:lang w:val="es-ES" w:eastAsia="es-ES" w:bidi="ar-SA"/>
    </w:rPr>
  </w:style>
  <w:style w:type="paragraph" w:customStyle="1" w:styleId="Default">
    <w:name w:val="Default"/>
    <w:rsid w:val="00ED0706"/>
    <w:pPr>
      <w:autoSpaceDE w:val="0"/>
      <w:autoSpaceDN w:val="0"/>
      <w:spacing w:after="0" w:line="240" w:lineRule="auto"/>
    </w:pPr>
    <w:rPr>
      <w:rFonts w:ascii="Times New Roman" w:eastAsia="Linux Libertine G" w:hAnsi="Times New Roman" w:cs="Times New Roman"/>
      <w:color w:val="000000"/>
      <w:sz w:val="24"/>
      <w:szCs w:val="24"/>
      <w:lang w:eastAsia="zh-CN"/>
    </w:rPr>
  </w:style>
  <w:style w:type="table" w:styleId="Tablaconcuadrcula">
    <w:name w:val="Table Grid"/>
    <w:basedOn w:val="Tablanormal"/>
    <w:uiPriority w:val="59"/>
    <w:rsid w:val="00ED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pcabeza">
    <w:name w:val="disp_cabeza"/>
    <w:basedOn w:val="Normal"/>
    <w:rsid w:val="000770BF"/>
    <w:pPr>
      <w:suppressAutoHyphens w:val="0"/>
      <w:autoSpaceDN/>
      <w:spacing w:before="100" w:beforeAutospacing="1" w:after="100" w:afterAutospacing="1"/>
      <w:textAlignment w:val="auto"/>
    </w:pPr>
    <w:rPr>
      <w:rFonts w:ascii="Times New Roman" w:eastAsia="Times New Roman" w:hAnsi="Times New Roman" w:cs="Times New Roman"/>
      <w:sz w:val="24"/>
      <w:szCs w:val="24"/>
      <w:lang w:val="es-ES" w:eastAsia="es-ES" w:bidi="ar-SA"/>
    </w:rPr>
  </w:style>
  <w:style w:type="paragraph" w:styleId="Prrafodelista">
    <w:name w:val="List Paragraph"/>
    <w:basedOn w:val="Normal"/>
    <w:uiPriority w:val="34"/>
    <w:qFormat/>
    <w:rsid w:val="004106F4"/>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5642A-2840-42EB-9E9F-D89B0DC2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7261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DNVS</dc:creator>
  <cp:lastModifiedBy>dnvs106</cp:lastModifiedBy>
  <cp:revision>2</cp:revision>
  <cp:lastPrinted>2021-03-09T12:57:00Z</cp:lastPrinted>
  <dcterms:created xsi:type="dcterms:W3CDTF">2021-03-11T14:30:00Z</dcterms:created>
  <dcterms:modified xsi:type="dcterms:W3CDTF">2021-03-11T14:30:00Z</dcterms:modified>
</cp:coreProperties>
</file>