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996" w:rsidRPr="00874996" w:rsidRDefault="00874996" w:rsidP="00874996">
      <w:pPr>
        <w:pStyle w:val="Sinespaciado"/>
        <w:jc w:val="center"/>
        <w:rPr>
          <w:sz w:val="40"/>
          <w:szCs w:val="40"/>
          <w:lang w:val="es-ES"/>
        </w:rPr>
      </w:pPr>
    </w:p>
    <w:p w:rsidR="00874996" w:rsidRPr="00874996" w:rsidRDefault="00874996" w:rsidP="00874996">
      <w:pPr>
        <w:pStyle w:val="Sinespaciado"/>
        <w:jc w:val="center"/>
        <w:rPr>
          <w:sz w:val="40"/>
          <w:szCs w:val="40"/>
          <w:lang w:val="es-ES"/>
        </w:rPr>
      </w:pPr>
    </w:p>
    <w:p w:rsidR="00565486" w:rsidRPr="00874996" w:rsidRDefault="00565486" w:rsidP="00874996">
      <w:pPr>
        <w:pStyle w:val="Sinespaciado"/>
        <w:jc w:val="center"/>
        <w:rPr>
          <w:sz w:val="40"/>
          <w:szCs w:val="40"/>
          <w:lang w:val="es-ES"/>
        </w:rPr>
      </w:pPr>
      <w:r w:rsidRPr="00874996">
        <w:rPr>
          <w:sz w:val="40"/>
          <w:szCs w:val="40"/>
          <w:lang w:val="es-ES"/>
        </w:rPr>
        <w:t>RENDICIÓN DE CUENTAS AL CIUDADANO</w:t>
      </w:r>
    </w:p>
    <w:p w:rsidR="00565486" w:rsidRPr="00874996" w:rsidRDefault="00565486" w:rsidP="00874996">
      <w:pPr>
        <w:pStyle w:val="Sinespaciado"/>
        <w:jc w:val="center"/>
        <w:rPr>
          <w:sz w:val="40"/>
          <w:szCs w:val="40"/>
          <w:lang w:val="es-ES"/>
        </w:rPr>
      </w:pPr>
    </w:p>
    <w:p w:rsidR="00874996" w:rsidRDefault="00874996" w:rsidP="00874996">
      <w:pPr>
        <w:pStyle w:val="Sinespaciado"/>
        <w:jc w:val="center"/>
        <w:rPr>
          <w:sz w:val="40"/>
          <w:szCs w:val="40"/>
          <w:lang w:val="es-ES"/>
        </w:rPr>
      </w:pPr>
    </w:p>
    <w:p w:rsidR="00874996" w:rsidRDefault="00E00FD8" w:rsidP="00874996">
      <w:pPr>
        <w:pStyle w:val="Sinespaciado"/>
        <w:jc w:val="center"/>
        <w:rPr>
          <w:sz w:val="40"/>
          <w:szCs w:val="40"/>
          <w:lang w:val="es-ES"/>
        </w:rPr>
      </w:pPr>
      <w:r>
        <w:rPr>
          <w:sz w:val="40"/>
          <w:szCs w:val="40"/>
          <w:lang w:val="es-ES"/>
        </w:rPr>
        <w:t>MATRIZ DE INDICADORES</w:t>
      </w:r>
      <w:bookmarkStart w:id="0" w:name="_GoBack"/>
      <w:bookmarkEnd w:id="0"/>
    </w:p>
    <w:p w:rsidR="00874996" w:rsidRDefault="00874996" w:rsidP="00874996">
      <w:pPr>
        <w:pStyle w:val="Sinespaciado"/>
        <w:jc w:val="center"/>
        <w:rPr>
          <w:sz w:val="40"/>
          <w:szCs w:val="40"/>
          <w:lang w:val="es-ES"/>
        </w:rPr>
      </w:pPr>
    </w:p>
    <w:p w:rsidR="00874996" w:rsidRDefault="00874996" w:rsidP="00874996">
      <w:pPr>
        <w:pStyle w:val="Sinespaciado"/>
        <w:jc w:val="center"/>
        <w:rPr>
          <w:sz w:val="40"/>
          <w:szCs w:val="40"/>
          <w:lang w:val="es-ES"/>
        </w:rPr>
      </w:pPr>
    </w:p>
    <w:p w:rsidR="00565486" w:rsidRPr="00A02BF0" w:rsidRDefault="00565486" w:rsidP="00874996">
      <w:pPr>
        <w:pStyle w:val="Sinespaciado"/>
        <w:jc w:val="center"/>
        <w:rPr>
          <w:b/>
          <w:sz w:val="44"/>
          <w:szCs w:val="40"/>
          <w:lang w:val="es-ES"/>
        </w:rPr>
      </w:pPr>
      <w:r w:rsidRPr="00A02BF0">
        <w:rPr>
          <w:b/>
          <w:sz w:val="44"/>
          <w:szCs w:val="40"/>
          <w:lang w:val="es-ES"/>
        </w:rPr>
        <w:t>MONITOREO Y GESTIÓN DE LA RESPUESTA NACIONAL AL VIH</w:t>
      </w:r>
    </w:p>
    <w:p w:rsidR="00565486" w:rsidRPr="00A02BF0" w:rsidRDefault="00565486" w:rsidP="00874996">
      <w:pPr>
        <w:pStyle w:val="Sinespaciado"/>
        <w:jc w:val="center"/>
        <w:rPr>
          <w:sz w:val="44"/>
          <w:szCs w:val="40"/>
          <w:lang w:val="es-ES"/>
        </w:rPr>
      </w:pPr>
    </w:p>
    <w:p w:rsidR="00874996" w:rsidRPr="00A02BF0" w:rsidRDefault="00874996" w:rsidP="00874996">
      <w:pPr>
        <w:pStyle w:val="Sinespaciado"/>
        <w:jc w:val="center"/>
        <w:rPr>
          <w:sz w:val="44"/>
          <w:szCs w:val="40"/>
          <w:lang w:val="es-ES"/>
        </w:rPr>
      </w:pPr>
    </w:p>
    <w:p w:rsidR="00874996" w:rsidRPr="00874996" w:rsidRDefault="00874996" w:rsidP="00874996">
      <w:pPr>
        <w:pStyle w:val="Sinespaciado"/>
        <w:jc w:val="center"/>
        <w:rPr>
          <w:sz w:val="40"/>
          <w:szCs w:val="40"/>
          <w:lang w:val="es-ES"/>
        </w:rPr>
      </w:pPr>
    </w:p>
    <w:p w:rsidR="00874996" w:rsidRDefault="00874996" w:rsidP="00874996">
      <w:pPr>
        <w:pStyle w:val="Sinespaciado"/>
        <w:jc w:val="center"/>
        <w:rPr>
          <w:sz w:val="40"/>
          <w:szCs w:val="40"/>
          <w:lang w:val="es-ES"/>
        </w:rPr>
      </w:pPr>
    </w:p>
    <w:p w:rsidR="00874996" w:rsidRPr="00A02BF0" w:rsidRDefault="00874996" w:rsidP="00874996">
      <w:pPr>
        <w:pStyle w:val="Sinespaciado"/>
        <w:jc w:val="center"/>
        <w:rPr>
          <w:sz w:val="36"/>
          <w:szCs w:val="40"/>
          <w:lang w:val="es-ES"/>
        </w:rPr>
      </w:pPr>
    </w:p>
    <w:p w:rsidR="00874996" w:rsidRPr="00A02BF0" w:rsidRDefault="00874996" w:rsidP="00874996">
      <w:pPr>
        <w:pStyle w:val="Sinespaciado"/>
        <w:jc w:val="center"/>
        <w:rPr>
          <w:sz w:val="36"/>
          <w:szCs w:val="40"/>
          <w:lang w:val="es-ES"/>
        </w:rPr>
      </w:pPr>
      <w:r w:rsidRPr="00A02BF0">
        <w:rPr>
          <w:sz w:val="36"/>
          <w:szCs w:val="40"/>
          <w:lang w:val="es-ES"/>
        </w:rPr>
        <w:t>MINISTERIO DE SALUD PÚBLICA Y BIENESTAR SOCIAL</w:t>
      </w:r>
    </w:p>
    <w:p w:rsidR="00874996" w:rsidRPr="00A02BF0" w:rsidRDefault="00874996" w:rsidP="00874996">
      <w:pPr>
        <w:pStyle w:val="Sinespaciado"/>
        <w:jc w:val="center"/>
        <w:rPr>
          <w:sz w:val="36"/>
          <w:szCs w:val="40"/>
          <w:lang w:val="es-ES"/>
        </w:rPr>
      </w:pPr>
    </w:p>
    <w:p w:rsidR="00874996" w:rsidRPr="00A02BF0" w:rsidRDefault="00874996" w:rsidP="00874996">
      <w:pPr>
        <w:pStyle w:val="Sinespaciado"/>
        <w:jc w:val="center"/>
        <w:rPr>
          <w:sz w:val="36"/>
          <w:szCs w:val="40"/>
          <w:lang w:val="es-ES"/>
        </w:rPr>
      </w:pPr>
    </w:p>
    <w:p w:rsidR="00565486" w:rsidRPr="00A02BF0" w:rsidRDefault="00565486" w:rsidP="00874996">
      <w:pPr>
        <w:pStyle w:val="Sinespaciado"/>
        <w:jc w:val="center"/>
        <w:rPr>
          <w:sz w:val="36"/>
          <w:szCs w:val="40"/>
          <w:lang w:val="es-ES"/>
        </w:rPr>
      </w:pPr>
      <w:r w:rsidRPr="00A02BF0">
        <w:rPr>
          <w:sz w:val="36"/>
          <w:szCs w:val="40"/>
          <w:lang w:val="es-ES"/>
        </w:rPr>
        <w:t>PROGRAMA NACIONAL DE CONTROL DE VIH/</w:t>
      </w:r>
      <w:r w:rsidR="00874996" w:rsidRPr="00A02BF0">
        <w:rPr>
          <w:sz w:val="36"/>
          <w:szCs w:val="40"/>
          <w:lang w:val="es-ES"/>
        </w:rPr>
        <w:t>Sida</w:t>
      </w:r>
      <w:r w:rsidRPr="00A02BF0">
        <w:rPr>
          <w:sz w:val="36"/>
          <w:szCs w:val="40"/>
          <w:lang w:val="es-ES"/>
        </w:rPr>
        <w:t xml:space="preserve"> E</w:t>
      </w:r>
      <w:r w:rsidR="00874996" w:rsidRPr="00A02BF0">
        <w:rPr>
          <w:sz w:val="36"/>
          <w:szCs w:val="40"/>
          <w:lang w:val="es-ES"/>
        </w:rPr>
        <w:t xml:space="preserve"> ITS</w:t>
      </w:r>
    </w:p>
    <w:p w:rsidR="00565486" w:rsidRDefault="00565486" w:rsidP="00565486">
      <w:pPr>
        <w:pStyle w:val="Sinespaciado"/>
        <w:rPr>
          <w:sz w:val="36"/>
          <w:szCs w:val="40"/>
          <w:lang w:val="es-ES"/>
        </w:rPr>
      </w:pPr>
    </w:p>
    <w:p w:rsidR="003733B5" w:rsidRDefault="003733B5" w:rsidP="00565486">
      <w:pPr>
        <w:pStyle w:val="Sinespaciado"/>
        <w:rPr>
          <w:sz w:val="36"/>
          <w:szCs w:val="40"/>
          <w:lang w:val="es-ES"/>
        </w:rPr>
      </w:pPr>
    </w:p>
    <w:p w:rsidR="003733B5" w:rsidRDefault="003733B5" w:rsidP="00565486">
      <w:pPr>
        <w:pStyle w:val="Sinespaciado"/>
        <w:rPr>
          <w:sz w:val="36"/>
          <w:szCs w:val="40"/>
          <w:lang w:val="es-ES"/>
        </w:rPr>
      </w:pPr>
    </w:p>
    <w:p w:rsidR="003733B5" w:rsidRDefault="003733B5" w:rsidP="00565486">
      <w:pPr>
        <w:pStyle w:val="Sinespaciado"/>
        <w:rPr>
          <w:sz w:val="36"/>
          <w:szCs w:val="40"/>
          <w:lang w:val="es-ES"/>
        </w:rPr>
      </w:pPr>
    </w:p>
    <w:p w:rsidR="003733B5" w:rsidRDefault="003733B5" w:rsidP="00565486">
      <w:pPr>
        <w:pStyle w:val="Sinespaciado"/>
        <w:rPr>
          <w:sz w:val="36"/>
          <w:szCs w:val="40"/>
          <w:lang w:val="es-ES"/>
        </w:rPr>
      </w:pPr>
    </w:p>
    <w:p w:rsidR="003733B5" w:rsidRPr="00A02BF0" w:rsidRDefault="003733B5" w:rsidP="003733B5">
      <w:pPr>
        <w:pStyle w:val="Sinespaciado"/>
        <w:jc w:val="center"/>
        <w:rPr>
          <w:sz w:val="36"/>
          <w:szCs w:val="40"/>
          <w:lang w:val="es-ES"/>
        </w:rPr>
      </w:pPr>
      <w:r>
        <w:rPr>
          <w:sz w:val="36"/>
          <w:szCs w:val="40"/>
          <w:lang w:val="es-ES"/>
        </w:rPr>
        <w:t>AÑO 2025</w:t>
      </w:r>
    </w:p>
    <w:p w:rsidR="00D740E1" w:rsidRPr="00A02BF0" w:rsidRDefault="00A13FC2" w:rsidP="00565486">
      <w:pPr>
        <w:pStyle w:val="Sinespaciado"/>
        <w:rPr>
          <w:sz w:val="36"/>
          <w:szCs w:val="40"/>
          <w:lang w:val="es-ES"/>
        </w:rPr>
      </w:pPr>
      <w:r w:rsidRPr="00A02BF0">
        <w:rPr>
          <w:sz w:val="36"/>
          <w:szCs w:val="40"/>
          <w:lang w:val="es-ES"/>
        </w:rPr>
        <w:br w:type="page"/>
      </w:r>
    </w:p>
    <w:p w:rsidR="00565486" w:rsidRDefault="00565486" w:rsidP="00565486">
      <w:pPr>
        <w:pStyle w:val="Sinespaciado"/>
        <w:rPr>
          <w:lang w:val="es-ES"/>
        </w:rPr>
      </w:pPr>
    </w:p>
    <w:p w:rsidR="00874996" w:rsidRDefault="00874996" w:rsidP="00565486">
      <w:pPr>
        <w:pStyle w:val="Sinespaciado"/>
        <w:rPr>
          <w:b/>
          <w:lang w:val="es-ES"/>
        </w:rPr>
      </w:pPr>
    </w:p>
    <w:p w:rsidR="00874996" w:rsidRDefault="00874996" w:rsidP="00565486">
      <w:pPr>
        <w:pStyle w:val="Sinespaciado"/>
        <w:rPr>
          <w:b/>
          <w:lang w:val="es-ES"/>
        </w:rPr>
      </w:pPr>
    </w:p>
    <w:p w:rsidR="00D740E1" w:rsidRPr="00874996" w:rsidRDefault="00A13FC2" w:rsidP="00565486">
      <w:pPr>
        <w:pStyle w:val="Sinespaciado"/>
        <w:rPr>
          <w:b/>
          <w:sz w:val="32"/>
          <w:lang w:val="es-ES"/>
        </w:rPr>
      </w:pPr>
      <w:r w:rsidRPr="00874996">
        <w:rPr>
          <w:b/>
          <w:sz w:val="32"/>
          <w:lang w:val="es-ES"/>
        </w:rPr>
        <w:t>ÍNDICE</w:t>
      </w:r>
    </w:p>
    <w:p w:rsidR="00874996" w:rsidRDefault="00874996" w:rsidP="00565486">
      <w:pPr>
        <w:pStyle w:val="Sinespaciado"/>
        <w:rPr>
          <w:lang w:val="es-ES"/>
        </w:rPr>
      </w:pPr>
    </w:p>
    <w:p w:rsidR="00874996" w:rsidRDefault="00874996" w:rsidP="00565486">
      <w:pPr>
        <w:pStyle w:val="Sinespaciado"/>
        <w:rPr>
          <w:lang w:val="es-ES"/>
        </w:rPr>
      </w:pPr>
    </w:p>
    <w:p w:rsidR="00874996" w:rsidRPr="008C2209" w:rsidRDefault="00874996" w:rsidP="008C2209">
      <w:pPr>
        <w:pStyle w:val="Sinespaciado"/>
        <w:spacing w:line="480" w:lineRule="auto"/>
        <w:rPr>
          <w:sz w:val="24"/>
          <w:lang w:val="es-ES"/>
        </w:rPr>
      </w:pPr>
    </w:p>
    <w:p w:rsidR="00D740E1" w:rsidRPr="008C2209" w:rsidRDefault="00A13FC2" w:rsidP="008C2209">
      <w:pPr>
        <w:pStyle w:val="Prrafodelista"/>
        <w:numPr>
          <w:ilvl w:val="0"/>
          <w:numId w:val="10"/>
        </w:numPr>
        <w:spacing w:line="480" w:lineRule="auto"/>
        <w:ind w:left="284" w:hanging="284"/>
        <w:rPr>
          <w:sz w:val="24"/>
          <w:lang w:val="es-ES"/>
        </w:rPr>
      </w:pPr>
      <w:r w:rsidRPr="008C2209">
        <w:rPr>
          <w:sz w:val="24"/>
          <w:lang w:val="es-ES"/>
        </w:rPr>
        <w:t>Introducción</w:t>
      </w:r>
    </w:p>
    <w:p w:rsidR="003733B5" w:rsidRDefault="003733B5" w:rsidP="008C2209">
      <w:pPr>
        <w:pStyle w:val="Prrafodelista"/>
        <w:numPr>
          <w:ilvl w:val="0"/>
          <w:numId w:val="10"/>
        </w:numPr>
        <w:spacing w:line="480" w:lineRule="auto"/>
        <w:ind w:left="284" w:hanging="284"/>
        <w:rPr>
          <w:sz w:val="24"/>
          <w:lang w:val="es-ES"/>
        </w:rPr>
      </w:pPr>
      <w:r>
        <w:rPr>
          <w:sz w:val="24"/>
          <w:lang w:val="es-ES"/>
        </w:rPr>
        <w:t>Misión</w:t>
      </w:r>
    </w:p>
    <w:p w:rsidR="00D740E1" w:rsidRPr="008C2209" w:rsidRDefault="00A13FC2" w:rsidP="008C2209">
      <w:pPr>
        <w:pStyle w:val="Prrafodelista"/>
        <w:numPr>
          <w:ilvl w:val="0"/>
          <w:numId w:val="10"/>
        </w:numPr>
        <w:spacing w:line="480" w:lineRule="auto"/>
        <w:ind w:left="284" w:hanging="284"/>
        <w:rPr>
          <w:sz w:val="24"/>
          <w:lang w:val="es-ES"/>
        </w:rPr>
      </w:pPr>
      <w:r w:rsidRPr="008C2209">
        <w:rPr>
          <w:sz w:val="24"/>
          <w:lang w:val="es-ES"/>
        </w:rPr>
        <w:t>Visión</w:t>
      </w:r>
    </w:p>
    <w:p w:rsidR="00B65C0A" w:rsidRDefault="00A13FC2" w:rsidP="008C2209">
      <w:pPr>
        <w:pStyle w:val="Prrafodelista"/>
        <w:numPr>
          <w:ilvl w:val="0"/>
          <w:numId w:val="10"/>
        </w:numPr>
        <w:spacing w:line="480" w:lineRule="auto"/>
        <w:ind w:left="284" w:hanging="284"/>
        <w:rPr>
          <w:sz w:val="24"/>
          <w:lang w:val="es-ES"/>
        </w:rPr>
      </w:pPr>
      <w:r w:rsidRPr="008C2209">
        <w:rPr>
          <w:sz w:val="24"/>
          <w:lang w:val="es-ES"/>
        </w:rPr>
        <w:t xml:space="preserve">Objetivos </w:t>
      </w:r>
      <w:r w:rsidR="00B65C0A">
        <w:rPr>
          <w:sz w:val="24"/>
          <w:lang w:val="es-ES"/>
        </w:rPr>
        <w:t>Generales</w:t>
      </w:r>
    </w:p>
    <w:p w:rsidR="00D740E1" w:rsidRPr="008C2209" w:rsidRDefault="00B65C0A" w:rsidP="008C2209">
      <w:pPr>
        <w:pStyle w:val="Prrafodelista"/>
        <w:numPr>
          <w:ilvl w:val="0"/>
          <w:numId w:val="10"/>
        </w:numPr>
        <w:spacing w:line="480" w:lineRule="auto"/>
        <w:ind w:left="284" w:hanging="284"/>
        <w:rPr>
          <w:sz w:val="24"/>
          <w:lang w:val="es-ES"/>
        </w:rPr>
      </w:pPr>
      <w:r>
        <w:rPr>
          <w:sz w:val="24"/>
          <w:lang w:val="es-ES"/>
        </w:rPr>
        <w:t>Objetivos</w:t>
      </w:r>
      <w:r w:rsidR="00A13FC2" w:rsidRPr="008C2209">
        <w:rPr>
          <w:sz w:val="24"/>
          <w:lang w:val="es-ES"/>
        </w:rPr>
        <w:t xml:space="preserve"> Específicos</w:t>
      </w:r>
    </w:p>
    <w:p w:rsidR="00D740E1" w:rsidRDefault="00A13FC2" w:rsidP="008C2209">
      <w:pPr>
        <w:pStyle w:val="Prrafodelista"/>
        <w:numPr>
          <w:ilvl w:val="0"/>
          <w:numId w:val="10"/>
        </w:numPr>
        <w:spacing w:line="480" w:lineRule="auto"/>
        <w:ind w:left="284" w:hanging="284"/>
        <w:rPr>
          <w:sz w:val="24"/>
          <w:lang w:val="es-ES"/>
        </w:rPr>
      </w:pPr>
      <w:r w:rsidRPr="008C2209">
        <w:rPr>
          <w:sz w:val="24"/>
          <w:lang w:val="es-ES"/>
        </w:rPr>
        <w:t>Logros 2025</w:t>
      </w:r>
    </w:p>
    <w:p w:rsidR="00397CBB" w:rsidRDefault="00397CBB" w:rsidP="008C2209">
      <w:pPr>
        <w:pStyle w:val="Prrafodelista"/>
        <w:numPr>
          <w:ilvl w:val="0"/>
          <w:numId w:val="10"/>
        </w:numPr>
        <w:spacing w:line="480" w:lineRule="auto"/>
        <w:ind w:left="284" w:hanging="284"/>
        <w:rPr>
          <w:sz w:val="24"/>
          <w:lang w:val="es-ES"/>
        </w:rPr>
      </w:pPr>
      <w:r>
        <w:rPr>
          <w:sz w:val="24"/>
          <w:lang w:val="es-ES"/>
        </w:rPr>
        <w:t>Indicadores de proceso e impacto</w:t>
      </w:r>
    </w:p>
    <w:p w:rsidR="003733B5" w:rsidRPr="003733B5" w:rsidRDefault="003733B5" w:rsidP="00F964B1">
      <w:pPr>
        <w:pStyle w:val="Prrafodelista"/>
        <w:numPr>
          <w:ilvl w:val="0"/>
          <w:numId w:val="10"/>
        </w:numPr>
        <w:spacing w:line="480" w:lineRule="auto"/>
        <w:ind w:left="284" w:hanging="284"/>
        <w:rPr>
          <w:sz w:val="24"/>
          <w:lang w:val="es-ES"/>
        </w:rPr>
      </w:pPr>
      <w:r w:rsidRPr="003733B5">
        <w:rPr>
          <w:sz w:val="24"/>
          <w:lang w:val="es-ES"/>
        </w:rPr>
        <w:t>Retos y oportunidades de mejora</w:t>
      </w:r>
    </w:p>
    <w:p w:rsidR="003733B5" w:rsidRDefault="003733B5" w:rsidP="003733B5">
      <w:pPr>
        <w:pStyle w:val="Prrafodelista"/>
        <w:numPr>
          <w:ilvl w:val="0"/>
          <w:numId w:val="10"/>
        </w:numPr>
        <w:spacing w:line="480" w:lineRule="auto"/>
        <w:ind w:left="284" w:hanging="284"/>
        <w:rPr>
          <w:sz w:val="24"/>
          <w:lang w:val="es-ES"/>
        </w:rPr>
      </w:pPr>
      <w:r>
        <w:rPr>
          <w:sz w:val="24"/>
          <w:lang w:val="es-ES"/>
        </w:rPr>
        <w:t xml:space="preserve">Contratación y ejecución </w:t>
      </w:r>
      <w:proofErr w:type="spellStart"/>
      <w:r>
        <w:rPr>
          <w:sz w:val="24"/>
          <w:lang w:val="es-ES"/>
        </w:rPr>
        <w:t>finacniera</w:t>
      </w:r>
      <w:proofErr w:type="spellEnd"/>
      <w:r>
        <w:rPr>
          <w:sz w:val="24"/>
          <w:lang w:val="es-ES"/>
        </w:rPr>
        <w:t xml:space="preserve"> periodo fiscal 2025</w:t>
      </w:r>
    </w:p>
    <w:p w:rsidR="00D740E1" w:rsidRPr="003733B5" w:rsidRDefault="00B65C0A" w:rsidP="003733B5">
      <w:pPr>
        <w:pStyle w:val="Prrafodelista"/>
        <w:numPr>
          <w:ilvl w:val="0"/>
          <w:numId w:val="10"/>
        </w:numPr>
        <w:tabs>
          <w:tab w:val="left" w:pos="284"/>
        </w:tabs>
        <w:spacing w:line="480" w:lineRule="auto"/>
        <w:ind w:left="284"/>
        <w:rPr>
          <w:sz w:val="24"/>
          <w:lang w:val="es-ES"/>
        </w:rPr>
      </w:pPr>
      <w:r w:rsidRPr="003733B5">
        <w:rPr>
          <w:sz w:val="24"/>
          <w:lang w:val="es-ES"/>
        </w:rPr>
        <w:t>Conclusión</w:t>
      </w:r>
    </w:p>
    <w:p w:rsidR="00D740E1" w:rsidRPr="00874996" w:rsidRDefault="00A13FC2" w:rsidP="00874996">
      <w:pPr>
        <w:pStyle w:val="Prrafodelista"/>
        <w:numPr>
          <w:ilvl w:val="0"/>
          <w:numId w:val="10"/>
        </w:numPr>
        <w:spacing w:line="360" w:lineRule="auto"/>
        <w:ind w:left="284" w:hanging="284"/>
        <w:rPr>
          <w:lang w:val="es-ES"/>
        </w:rPr>
      </w:pPr>
      <w:r w:rsidRPr="00874996">
        <w:rPr>
          <w:lang w:val="es-ES"/>
        </w:rPr>
        <w:br w:type="page"/>
      </w:r>
    </w:p>
    <w:p w:rsidR="00D740E1" w:rsidRPr="007331E4" w:rsidRDefault="00A13FC2" w:rsidP="0005550A">
      <w:pPr>
        <w:pStyle w:val="Ttulo1"/>
        <w:numPr>
          <w:ilvl w:val="0"/>
          <w:numId w:val="12"/>
        </w:numPr>
        <w:ind w:left="426"/>
        <w:rPr>
          <w:lang w:val="es-ES"/>
        </w:rPr>
      </w:pPr>
      <w:r w:rsidRPr="007331E4">
        <w:rPr>
          <w:lang w:val="es-ES"/>
        </w:rPr>
        <w:lastRenderedPageBreak/>
        <w:t>Introducción</w:t>
      </w:r>
    </w:p>
    <w:p w:rsidR="007331E4" w:rsidRDefault="007331E4" w:rsidP="000B1AFC">
      <w:pPr>
        <w:jc w:val="both"/>
        <w:rPr>
          <w:sz w:val="24"/>
          <w:lang w:val="es-ES"/>
        </w:rPr>
      </w:pPr>
    </w:p>
    <w:p w:rsidR="000B1AFC" w:rsidRPr="000E5D61" w:rsidRDefault="000B1AFC" w:rsidP="000E5D61">
      <w:pPr>
        <w:spacing w:line="360" w:lineRule="auto"/>
        <w:jc w:val="both"/>
        <w:rPr>
          <w:sz w:val="24"/>
          <w:lang w:val="es-ES"/>
        </w:rPr>
      </w:pPr>
      <w:r w:rsidRPr="000E5D61">
        <w:rPr>
          <w:sz w:val="24"/>
          <w:lang w:val="es-ES"/>
        </w:rPr>
        <w:t>El marco legal de la organización y funcionamiento de la salud tiene como base la Constitución Nacional, la Ley Nº 1032/96 “Que crea el Sistema Nacional de Salud” y el conjunto de normas que sustentan la estructura institucional vigente. En este contexto, el Ministerio de Salud Pública y Bienestar Social es el organismo responsable de garantizar el derecho a la salud, formular políticas públicas sanitarias, ejecutar planes, programas y proyectos, y asegurar el acceso equitativo a servicios de salud de calidad para toda la población.</w:t>
      </w:r>
    </w:p>
    <w:p w:rsidR="000B1AFC" w:rsidRPr="000E5D61" w:rsidRDefault="000B1AFC" w:rsidP="000E5D61">
      <w:pPr>
        <w:spacing w:line="360" w:lineRule="auto"/>
        <w:jc w:val="both"/>
        <w:rPr>
          <w:sz w:val="24"/>
          <w:lang w:val="es-ES"/>
        </w:rPr>
      </w:pPr>
      <w:r w:rsidRPr="000E5D61">
        <w:rPr>
          <w:sz w:val="24"/>
          <w:lang w:val="es-ES"/>
        </w:rPr>
        <w:t>El Ministerio de Salud orienta su gestión hacia un modelo basado en eficiencia, eficacia y transparencia, promoviendo la participación ciudadana y el control social como pilares del fortalecimiento institucional. Este enfoque busca avanzar hacia un sistema basado en desempeño, que responda a metas sanitarias, impacto medible y sostenibilidad presupuestaria, en concordancia con los principios de acceso universal y cobertura sanitaria universal. En esta misma línea, el marco normativo que regula la labor de</w:t>
      </w:r>
      <w:r w:rsidR="00231D9C" w:rsidRPr="000E5D61">
        <w:rPr>
          <w:sz w:val="24"/>
          <w:lang w:val="es-ES"/>
        </w:rPr>
        <w:t>l Programa Nacional de Control del VIH/Sida e ITS</w:t>
      </w:r>
      <w:r w:rsidRPr="000E5D61">
        <w:rPr>
          <w:sz w:val="24"/>
          <w:lang w:val="es-ES"/>
        </w:rPr>
        <w:t xml:space="preserve"> </w:t>
      </w:r>
      <w:r w:rsidR="00231D9C" w:rsidRPr="000E5D61">
        <w:rPr>
          <w:sz w:val="24"/>
          <w:lang w:val="es-ES"/>
        </w:rPr>
        <w:t>(</w:t>
      </w:r>
      <w:r w:rsidRPr="000E5D61">
        <w:rPr>
          <w:sz w:val="24"/>
          <w:lang w:val="es-ES"/>
        </w:rPr>
        <w:t>PRONASIDA</w:t>
      </w:r>
      <w:r w:rsidR="00231D9C" w:rsidRPr="000E5D61">
        <w:rPr>
          <w:sz w:val="24"/>
          <w:lang w:val="es-ES"/>
        </w:rPr>
        <w:t>)</w:t>
      </w:r>
      <w:r w:rsidRPr="000E5D61">
        <w:rPr>
          <w:sz w:val="24"/>
          <w:lang w:val="es-ES"/>
        </w:rPr>
        <w:t xml:space="preserve"> establece el trabajo articulado con instituciones del Estado, organismos internacionales y organizaciones de la sociedad civil, promoviendo un enfoque multisectorial para garantizar una respuesta integral, participativa y sustentada en derechos humanos frente a la epidemia del VIH en el Paraguay.</w:t>
      </w:r>
    </w:p>
    <w:p w:rsidR="000B1AFC" w:rsidRPr="000E5D61" w:rsidRDefault="000B1AFC" w:rsidP="000E5D61">
      <w:pPr>
        <w:spacing w:line="360" w:lineRule="auto"/>
        <w:jc w:val="both"/>
        <w:rPr>
          <w:sz w:val="24"/>
          <w:lang w:val="es-ES"/>
        </w:rPr>
      </w:pPr>
      <w:r w:rsidRPr="000E5D61">
        <w:rPr>
          <w:sz w:val="24"/>
          <w:lang w:val="es-ES"/>
        </w:rPr>
        <w:t>En materia de transparencia y rendición de cuentas, el Ministerio de Salud Pública y Bienestar Social se rige por el Decreto Nº 2991/19 que aprueba el Manual de Rendición de Cuentas al Ciudadano y establece su implementación obligatoria. A través de esta herramienta se garantiza el acceso a la información pública, la difusión de informes y la apertura de espacios de diálogo con la ciudadanía. Este proceso consolida un modelo de gestión estatal democrático y participativo, donde la transparencia activa se complementa con la explicación de decisiones estratégicas, el uso de recursos y el avance hacia metas institucionales.</w:t>
      </w:r>
    </w:p>
    <w:p w:rsidR="000B1AFC" w:rsidRPr="000E5D61" w:rsidRDefault="000B1AFC" w:rsidP="000E5D61">
      <w:pPr>
        <w:spacing w:line="360" w:lineRule="auto"/>
        <w:jc w:val="both"/>
        <w:rPr>
          <w:sz w:val="24"/>
          <w:lang w:val="es-ES"/>
        </w:rPr>
      </w:pPr>
      <w:r w:rsidRPr="000E5D61">
        <w:rPr>
          <w:sz w:val="24"/>
          <w:lang w:val="es-ES"/>
        </w:rPr>
        <w:t xml:space="preserve">El Plan de Rendición de Cuentas al Ciudadano 2025 fue elaborado conforme a dicho manual, priorizando el eje </w:t>
      </w:r>
      <w:r w:rsidR="00C754CC" w:rsidRPr="000E5D61">
        <w:rPr>
          <w:sz w:val="24"/>
          <w:lang w:val="es-ES"/>
        </w:rPr>
        <w:t xml:space="preserve">de </w:t>
      </w:r>
      <w:r w:rsidRPr="000E5D61">
        <w:rPr>
          <w:sz w:val="24"/>
          <w:lang w:val="es-ES"/>
        </w:rPr>
        <w:t xml:space="preserve">Monitoreo y Gestión de la Respuesta al VIH en Paraguay, área estratégica de alto impacto sanitario. Este eje articula las acciones del </w:t>
      </w:r>
      <w:r w:rsidR="00231D9C" w:rsidRPr="000E5D61">
        <w:rPr>
          <w:sz w:val="24"/>
          <w:lang w:val="es-ES"/>
        </w:rPr>
        <w:t>PRONASIDA</w:t>
      </w:r>
      <w:r w:rsidRPr="000E5D61">
        <w:rPr>
          <w:sz w:val="24"/>
          <w:lang w:val="es-ES"/>
        </w:rPr>
        <w:t xml:space="preserve">, creado por Resolución Ministerial N.º 38/1988 y ampliado en 1998, bajo dependencia técnica de la Dirección General de Vigilancia de la Salud. Su mandato incluye garantizar el acceso a la terapia antirretroviral, </w:t>
      </w:r>
      <w:r w:rsidR="001344C5" w:rsidRPr="000E5D61">
        <w:rPr>
          <w:sz w:val="24"/>
          <w:lang w:val="es-ES"/>
        </w:rPr>
        <w:t>la descentralización de los</w:t>
      </w:r>
      <w:r w:rsidRPr="000E5D61">
        <w:rPr>
          <w:sz w:val="24"/>
          <w:lang w:val="es-ES"/>
        </w:rPr>
        <w:t xml:space="preserve"> </w:t>
      </w:r>
      <w:r w:rsidRPr="000E5D61">
        <w:rPr>
          <w:sz w:val="24"/>
          <w:lang w:val="es-ES"/>
        </w:rPr>
        <w:lastRenderedPageBreak/>
        <w:t xml:space="preserve">servicios, </w:t>
      </w:r>
      <w:r w:rsidR="001344C5" w:rsidRPr="000E5D61">
        <w:rPr>
          <w:sz w:val="24"/>
          <w:lang w:val="es-ES"/>
        </w:rPr>
        <w:t xml:space="preserve">el monitoreo de </w:t>
      </w:r>
      <w:r w:rsidRPr="000E5D61">
        <w:rPr>
          <w:sz w:val="24"/>
          <w:lang w:val="es-ES"/>
        </w:rPr>
        <w:t xml:space="preserve">datos epidemiológicos y </w:t>
      </w:r>
      <w:r w:rsidR="001344C5" w:rsidRPr="000E5D61">
        <w:rPr>
          <w:sz w:val="24"/>
          <w:lang w:val="es-ES"/>
        </w:rPr>
        <w:t>la coordinación de</w:t>
      </w:r>
      <w:r w:rsidRPr="000E5D61">
        <w:rPr>
          <w:sz w:val="24"/>
          <w:lang w:val="es-ES"/>
        </w:rPr>
        <w:t xml:space="preserve"> intervenciones de prevención combinada.</w:t>
      </w:r>
    </w:p>
    <w:p w:rsidR="00231D9C" w:rsidRPr="000E5D61" w:rsidRDefault="000B1AFC" w:rsidP="000E5D61">
      <w:pPr>
        <w:spacing w:line="360" w:lineRule="auto"/>
        <w:jc w:val="both"/>
        <w:rPr>
          <w:sz w:val="24"/>
          <w:lang w:val="es-ES"/>
        </w:rPr>
      </w:pPr>
      <w:r w:rsidRPr="000E5D61">
        <w:rPr>
          <w:sz w:val="24"/>
          <w:lang w:val="es-ES"/>
        </w:rPr>
        <w:t xml:space="preserve">El </w:t>
      </w:r>
      <w:r w:rsidR="00C754CC" w:rsidRPr="000E5D61">
        <w:rPr>
          <w:sz w:val="24"/>
          <w:lang w:val="es-ES"/>
        </w:rPr>
        <w:t xml:space="preserve">tablero de gestión de VIH </w:t>
      </w:r>
      <w:r w:rsidRPr="000E5D61">
        <w:rPr>
          <w:sz w:val="24"/>
          <w:lang w:val="es-ES"/>
        </w:rPr>
        <w:t xml:space="preserve">constituye el soporte operativo de este proceso, permitiendo el acceso a información crítica y actualizada para la toma de decisiones basada en evidencia. </w:t>
      </w:r>
    </w:p>
    <w:p w:rsidR="000B1AFC" w:rsidRPr="000E5D61" w:rsidRDefault="000B1AFC" w:rsidP="000E5D61">
      <w:pPr>
        <w:spacing w:line="360" w:lineRule="auto"/>
        <w:jc w:val="both"/>
        <w:rPr>
          <w:sz w:val="24"/>
          <w:lang w:val="es-ES"/>
        </w:rPr>
      </w:pPr>
      <w:r w:rsidRPr="000E5D61">
        <w:rPr>
          <w:sz w:val="24"/>
          <w:lang w:val="es-ES"/>
        </w:rPr>
        <w:t xml:space="preserve">El </w:t>
      </w:r>
      <w:r w:rsidR="00C754CC" w:rsidRPr="000E5D61">
        <w:rPr>
          <w:sz w:val="24"/>
          <w:lang w:val="es-ES"/>
        </w:rPr>
        <w:t xml:space="preserve">mismo se encuentra </w:t>
      </w:r>
      <w:r w:rsidRPr="000E5D61">
        <w:rPr>
          <w:sz w:val="24"/>
          <w:szCs w:val="24"/>
          <w:lang w:val="es-ES"/>
        </w:rPr>
        <w:t xml:space="preserve">disponible en el </w:t>
      </w:r>
      <w:r w:rsidR="001344C5" w:rsidRPr="000E5D61">
        <w:rPr>
          <w:sz w:val="24"/>
          <w:szCs w:val="24"/>
          <w:lang w:val="es-ES"/>
        </w:rPr>
        <w:t xml:space="preserve">Centro de Monitoreo de Indicadores en Información en Salud (CEMIIS), </w:t>
      </w:r>
      <w:r w:rsidRPr="000E5D61">
        <w:rPr>
          <w:sz w:val="24"/>
          <w:szCs w:val="24"/>
          <w:lang w:val="es-ES"/>
        </w:rPr>
        <w:t>facilita la visualización en tiempo real de indicadores sanitarios, desempeño territo</w:t>
      </w:r>
      <w:r w:rsidRPr="000E5D61">
        <w:rPr>
          <w:sz w:val="24"/>
          <w:lang w:val="es-ES"/>
        </w:rPr>
        <w:t>rial, cobertura de servicios y brechas asistenciales. La información es complementada con datos de organizaciones de la sociedad civil que aportan evidencia sobre nuevos diagnósticos, vinculación a servicios y la situación de poblaciones clave, fortaleciendo la respuesta comunitaria.</w:t>
      </w:r>
    </w:p>
    <w:p w:rsidR="000B1AFC" w:rsidRPr="000E5D61" w:rsidRDefault="000B1AFC" w:rsidP="000E5D61">
      <w:pPr>
        <w:spacing w:line="360" w:lineRule="auto"/>
        <w:jc w:val="both"/>
        <w:rPr>
          <w:sz w:val="24"/>
          <w:lang w:val="es-ES"/>
        </w:rPr>
      </w:pPr>
      <w:r w:rsidRPr="000E5D61">
        <w:rPr>
          <w:sz w:val="24"/>
          <w:lang w:val="es-ES"/>
        </w:rPr>
        <w:t xml:space="preserve">Finalmente, el mecanismo </w:t>
      </w:r>
      <w:r w:rsidR="00424944" w:rsidRPr="000E5D61">
        <w:rPr>
          <w:sz w:val="24"/>
          <w:lang w:val="es-ES"/>
        </w:rPr>
        <w:t xml:space="preserve">Rendición de Cuentas al Ciudadano </w:t>
      </w:r>
      <w:r w:rsidRPr="000E5D61">
        <w:rPr>
          <w:sz w:val="24"/>
          <w:lang w:val="es-ES"/>
        </w:rPr>
        <w:t xml:space="preserve">establece la obligación de sistematizar los avances de cada ciclo anual, mediante la elaboración de una memoria institucional donde se expongan actividades realizadas, resultados alcanzados, desafíos, acciones de mejora en curso y proyecciones para el siguiente periodo. </w:t>
      </w:r>
    </w:p>
    <w:p w:rsidR="00D740E1" w:rsidRPr="00565486" w:rsidRDefault="00D740E1" w:rsidP="00565486">
      <w:pPr>
        <w:pStyle w:val="Sinespaciado"/>
        <w:rPr>
          <w:lang w:val="es-ES"/>
        </w:rPr>
      </w:pPr>
    </w:p>
    <w:p w:rsidR="00D740E1" w:rsidRPr="007331E4" w:rsidRDefault="00A13FC2" w:rsidP="0005550A">
      <w:pPr>
        <w:pStyle w:val="Ttulo1"/>
        <w:numPr>
          <w:ilvl w:val="0"/>
          <w:numId w:val="12"/>
        </w:numPr>
        <w:ind w:left="426"/>
      </w:pPr>
      <w:proofErr w:type="spellStart"/>
      <w:r w:rsidRPr="007331E4">
        <w:t>Misión</w:t>
      </w:r>
      <w:proofErr w:type="spellEnd"/>
      <w:r w:rsidRPr="007331E4">
        <w:t xml:space="preserve"> </w:t>
      </w:r>
    </w:p>
    <w:p w:rsidR="000E5D61" w:rsidRDefault="000E5D61" w:rsidP="007331E4">
      <w:pPr>
        <w:pStyle w:val="Sinespaciado"/>
        <w:jc w:val="both"/>
        <w:rPr>
          <w:lang w:val="es-ES"/>
        </w:rPr>
      </w:pPr>
    </w:p>
    <w:p w:rsidR="00D740E1" w:rsidRPr="000E5D61" w:rsidRDefault="00A13FC2" w:rsidP="000E5D61">
      <w:pPr>
        <w:spacing w:line="360" w:lineRule="auto"/>
        <w:jc w:val="both"/>
        <w:rPr>
          <w:sz w:val="24"/>
          <w:lang w:val="es-ES"/>
        </w:rPr>
      </w:pPr>
      <w:r w:rsidRPr="000E5D61">
        <w:rPr>
          <w:sz w:val="24"/>
          <w:lang w:val="es-ES"/>
        </w:rPr>
        <w:t>Promover la salud y calidad de vida de las personas con VIH e ITS mediante una respuesta multisectorial centrada en derechos humanos.</w:t>
      </w:r>
    </w:p>
    <w:p w:rsidR="007331E4" w:rsidRPr="007331E4" w:rsidRDefault="007331E4" w:rsidP="0005550A">
      <w:pPr>
        <w:pStyle w:val="Ttulo1"/>
        <w:numPr>
          <w:ilvl w:val="0"/>
          <w:numId w:val="12"/>
        </w:numPr>
        <w:ind w:left="426"/>
      </w:pPr>
      <w:proofErr w:type="spellStart"/>
      <w:r w:rsidRPr="007331E4">
        <w:t>Visión</w:t>
      </w:r>
      <w:proofErr w:type="spellEnd"/>
    </w:p>
    <w:p w:rsidR="000E5D61" w:rsidRDefault="000E5D61" w:rsidP="007331E4">
      <w:pPr>
        <w:pStyle w:val="Sinespaciado"/>
        <w:jc w:val="both"/>
        <w:rPr>
          <w:lang w:val="es-ES"/>
        </w:rPr>
      </w:pPr>
    </w:p>
    <w:p w:rsidR="00D740E1" w:rsidRPr="000E5D61" w:rsidRDefault="00A13FC2" w:rsidP="000E5D61">
      <w:pPr>
        <w:spacing w:line="360" w:lineRule="auto"/>
        <w:jc w:val="both"/>
        <w:rPr>
          <w:sz w:val="24"/>
          <w:lang w:val="es-ES"/>
        </w:rPr>
      </w:pPr>
      <w:r w:rsidRPr="000E5D61">
        <w:rPr>
          <w:sz w:val="24"/>
          <w:lang w:val="es-ES"/>
        </w:rPr>
        <w:t>Un Paraguay libre de estigma y discriminación, donde todas las personas accedan a servicios integrales y de calidad.</w:t>
      </w:r>
    </w:p>
    <w:p w:rsidR="00D740E1" w:rsidRPr="007331E4" w:rsidRDefault="00A13FC2" w:rsidP="0005550A">
      <w:pPr>
        <w:pStyle w:val="Ttulo1"/>
        <w:numPr>
          <w:ilvl w:val="0"/>
          <w:numId w:val="12"/>
        </w:numPr>
        <w:ind w:left="426"/>
      </w:pPr>
      <w:proofErr w:type="spellStart"/>
      <w:r w:rsidRPr="007331E4">
        <w:t>Objetivos</w:t>
      </w:r>
      <w:proofErr w:type="spellEnd"/>
      <w:r w:rsidRPr="007331E4">
        <w:t xml:space="preserve"> </w:t>
      </w:r>
      <w:proofErr w:type="spellStart"/>
      <w:r w:rsidRPr="007331E4">
        <w:t>Generales</w:t>
      </w:r>
      <w:proofErr w:type="spellEnd"/>
    </w:p>
    <w:p w:rsidR="000E5D61" w:rsidRDefault="000E5D61" w:rsidP="00A02BF0">
      <w:pPr>
        <w:jc w:val="both"/>
        <w:rPr>
          <w:lang w:val="es-ES"/>
        </w:rPr>
      </w:pPr>
    </w:p>
    <w:p w:rsidR="00D740E1" w:rsidRPr="00A02BF0" w:rsidRDefault="00A13FC2" w:rsidP="000E5D61">
      <w:pPr>
        <w:spacing w:line="360" w:lineRule="auto"/>
        <w:jc w:val="both"/>
        <w:rPr>
          <w:lang w:val="es-ES"/>
        </w:rPr>
      </w:pPr>
      <w:r w:rsidRPr="00A02BF0">
        <w:rPr>
          <w:lang w:val="es-ES"/>
        </w:rPr>
        <w:t>Fortalecer la respuesta nacional al VIH mediante el monitoreo estratégico, la gestión eficiente de recursos, la prevención combinada y la descentralización territorial.</w:t>
      </w:r>
    </w:p>
    <w:p w:rsidR="007331E4" w:rsidRPr="00B81528" w:rsidRDefault="007331E4" w:rsidP="0005550A">
      <w:pPr>
        <w:pStyle w:val="Ttulo1"/>
        <w:numPr>
          <w:ilvl w:val="0"/>
          <w:numId w:val="12"/>
        </w:numPr>
        <w:ind w:left="426"/>
        <w:rPr>
          <w:lang w:val="es-ES"/>
        </w:rPr>
      </w:pPr>
      <w:r w:rsidRPr="00B81528">
        <w:rPr>
          <w:lang w:val="es-ES"/>
        </w:rPr>
        <w:lastRenderedPageBreak/>
        <w:t xml:space="preserve">Objetivos </w:t>
      </w:r>
      <w:r w:rsidR="00B81528" w:rsidRPr="00B81528">
        <w:rPr>
          <w:lang w:val="es-ES"/>
        </w:rPr>
        <w:t>Especí</w:t>
      </w:r>
      <w:r w:rsidR="00B81528">
        <w:rPr>
          <w:lang w:val="es-ES"/>
        </w:rPr>
        <w:t>ficos</w:t>
      </w:r>
    </w:p>
    <w:p w:rsidR="000E5D61" w:rsidRDefault="000E5D61" w:rsidP="000E5D61">
      <w:pPr>
        <w:pStyle w:val="Prrafodelista"/>
        <w:spacing w:line="360" w:lineRule="auto"/>
        <w:ind w:left="426"/>
        <w:jc w:val="both"/>
        <w:rPr>
          <w:lang w:val="es-ES"/>
        </w:rPr>
      </w:pPr>
    </w:p>
    <w:p w:rsidR="00D740E1" w:rsidRPr="00A02BF0" w:rsidRDefault="00A13FC2" w:rsidP="000E5D61">
      <w:pPr>
        <w:pStyle w:val="Prrafodelista"/>
        <w:numPr>
          <w:ilvl w:val="0"/>
          <w:numId w:val="13"/>
        </w:numPr>
        <w:spacing w:line="360" w:lineRule="auto"/>
        <w:ind w:left="426"/>
        <w:jc w:val="both"/>
        <w:rPr>
          <w:lang w:val="es-ES"/>
        </w:rPr>
      </w:pPr>
      <w:r w:rsidRPr="00A02BF0">
        <w:rPr>
          <w:lang w:val="es-ES"/>
        </w:rPr>
        <w:t>Garantizar acceso oportuno a diagnóstico, tratamiento y prevención del VIH.</w:t>
      </w:r>
    </w:p>
    <w:p w:rsidR="00D740E1" w:rsidRPr="00A02BF0" w:rsidRDefault="00A13FC2" w:rsidP="000E5D61">
      <w:pPr>
        <w:pStyle w:val="Prrafodelista"/>
        <w:numPr>
          <w:ilvl w:val="0"/>
          <w:numId w:val="13"/>
        </w:numPr>
        <w:spacing w:line="360" w:lineRule="auto"/>
        <w:ind w:left="426"/>
        <w:jc w:val="both"/>
        <w:rPr>
          <w:lang w:val="es-ES"/>
        </w:rPr>
      </w:pPr>
      <w:r w:rsidRPr="00A02BF0">
        <w:rPr>
          <w:lang w:val="es-ES"/>
        </w:rPr>
        <w:t>Optimizar la gestión financiera y administrativa vinculada a la ejecución del programa.</w:t>
      </w:r>
    </w:p>
    <w:p w:rsidR="00D740E1" w:rsidRPr="00A02BF0" w:rsidRDefault="00A13FC2" w:rsidP="000E5D61">
      <w:pPr>
        <w:pStyle w:val="Prrafodelista"/>
        <w:numPr>
          <w:ilvl w:val="0"/>
          <w:numId w:val="13"/>
        </w:numPr>
        <w:spacing w:line="360" w:lineRule="auto"/>
        <w:ind w:left="426"/>
        <w:jc w:val="both"/>
        <w:rPr>
          <w:lang w:val="es-ES"/>
        </w:rPr>
      </w:pPr>
      <w:r w:rsidRPr="00A02BF0">
        <w:rPr>
          <w:lang w:val="es-ES"/>
        </w:rPr>
        <w:t>Fortalecer sistemas de información sanitaria para la toma de decisiones y control epidemiológico.</w:t>
      </w:r>
    </w:p>
    <w:p w:rsidR="00D740E1" w:rsidRPr="00A02BF0" w:rsidRDefault="00A13FC2" w:rsidP="000E5D61">
      <w:pPr>
        <w:pStyle w:val="Prrafodelista"/>
        <w:numPr>
          <w:ilvl w:val="0"/>
          <w:numId w:val="13"/>
        </w:numPr>
        <w:spacing w:line="360" w:lineRule="auto"/>
        <w:ind w:left="426"/>
        <w:jc w:val="both"/>
        <w:rPr>
          <w:lang w:val="es-ES"/>
        </w:rPr>
      </w:pPr>
      <w:r w:rsidRPr="00A02BF0">
        <w:rPr>
          <w:lang w:val="es-ES"/>
        </w:rPr>
        <w:t>Reducir brechas territoriales y poblacionales en acceso a servicios.</w:t>
      </w:r>
    </w:p>
    <w:p w:rsidR="00D740E1" w:rsidRDefault="00A13FC2" w:rsidP="0005550A">
      <w:pPr>
        <w:pStyle w:val="Ttulo1"/>
        <w:numPr>
          <w:ilvl w:val="0"/>
          <w:numId w:val="12"/>
        </w:numPr>
        <w:ind w:left="426"/>
        <w:rPr>
          <w:lang w:val="es-ES"/>
        </w:rPr>
      </w:pPr>
      <w:r w:rsidRPr="00565486">
        <w:rPr>
          <w:lang w:val="es-ES"/>
        </w:rPr>
        <w:t>Logros 2025</w:t>
      </w:r>
    </w:p>
    <w:p w:rsidR="00A02BF0" w:rsidRPr="00A02BF0" w:rsidRDefault="00A02BF0" w:rsidP="00A02BF0">
      <w:pPr>
        <w:rPr>
          <w:lang w:val="es-ES"/>
        </w:rPr>
      </w:pPr>
    </w:p>
    <w:p w:rsidR="00A35508" w:rsidRPr="00A35508" w:rsidRDefault="0005550A" w:rsidP="00786CF6">
      <w:pPr>
        <w:pStyle w:val="Prrafodelista"/>
        <w:numPr>
          <w:ilvl w:val="0"/>
          <w:numId w:val="20"/>
        </w:numPr>
        <w:ind w:left="426"/>
        <w:jc w:val="both"/>
        <w:rPr>
          <w:sz w:val="24"/>
          <w:lang w:val="es-ES"/>
        </w:rPr>
      </w:pPr>
      <w:r w:rsidRPr="00786CF6">
        <w:rPr>
          <w:b/>
          <w:sz w:val="24"/>
          <w:lang w:val="es-ES"/>
        </w:rPr>
        <w:t>Expansión del diagnóstico de VIH y acceso equitativo a pruebas</w:t>
      </w:r>
      <w:r w:rsidRPr="00786CF6">
        <w:rPr>
          <w:b/>
          <w:sz w:val="24"/>
          <w:lang w:val="es-ES"/>
        </w:rPr>
        <w:br/>
      </w:r>
    </w:p>
    <w:p w:rsidR="00D622DA" w:rsidRPr="008C2209" w:rsidRDefault="000B1429" w:rsidP="0011451A">
      <w:pPr>
        <w:jc w:val="both"/>
        <w:rPr>
          <w:sz w:val="24"/>
          <w:lang w:val="es-ES"/>
        </w:rPr>
      </w:pPr>
      <w:r w:rsidRPr="008C2209">
        <w:rPr>
          <w:sz w:val="24"/>
          <w:lang w:val="es-ES"/>
        </w:rPr>
        <w:t xml:space="preserve">Este hito se vincula directamente con el indicador </w:t>
      </w:r>
      <w:r w:rsidRPr="008C2209">
        <w:rPr>
          <w:b/>
          <w:i/>
          <w:sz w:val="24"/>
          <w:lang w:val="es-ES"/>
        </w:rPr>
        <w:t>“Número de pruebas de VIH realizadas a nivel país”</w:t>
      </w:r>
      <w:r w:rsidRPr="008C2209">
        <w:rPr>
          <w:sz w:val="24"/>
          <w:lang w:val="es-ES"/>
        </w:rPr>
        <w:t xml:space="preserve">, cuya meta fue de 307.425 pruebas, alcanzándose un 124 % de ejecución, con 382.026 pruebas realizadas en 2025 y cobertura de alcance </w:t>
      </w:r>
      <w:r w:rsidR="00D622DA" w:rsidRPr="008C2209">
        <w:rPr>
          <w:sz w:val="24"/>
          <w:lang w:val="es-ES"/>
        </w:rPr>
        <w:t xml:space="preserve">nacional, Se registró un </w:t>
      </w:r>
      <w:r w:rsidR="00D622DA" w:rsidRPr="008C2209">
        <w:rPr>
          <w:rStyle w:val="Textoennegrita"/>
          <w:b w:val="0"/>
          <w:sz w:val="24"/>
          <w:lang w:val="es-ES"/>
        </w:rPr>
        <w:t>aumento del 172 % en la realización de pruebas de VIH entre 2022 y 2025</w:t>
      </w:r>
      <w:r w:rsidR="00D622DA" w:rsidRPr="008C2209">
        <w:rPr>
          <w:sz w:val="24"/>
          <w:lang w:val="es-ES"/>
        </w:rPr>
        <w:t>, evidenciando un crecimiento sostenido de la capacidad diagnóstica y el impacto de las estrategias de descentralización y ampliación del acceso a los servicios de testeo a nivel nacional.</w:t>
      </w:r>
    </w:p>
    <w:p w:rsidR="000B1429" w:rsidRPr="008C2209" w:rsidRDefault="000B1429" w:rsidP="00A35508">
      <w:pPr>
        <w:ind w:left="66"/>
        <w:jc w:val="both"/>
        <w:rPr>
          <w:sz w:val="24"/>
          <w:lang w:val="es-ES"/>
        </w:rPr>
      </w:pPr>
      <w:r w:rsidRPr="00D622DA">
        <w:rPr>
          <w:sz w:val="24"/>
          <w:lang w:val="es-ES"/>
        </w:rPr>
        <w:t xml:space="preserve">De manera complementaria, el indicador </w:t>
      </w:r>
      <w:r w:rsidRPr="00D622DA">
        <w:rPr>
          <w:b/>
          <w:i/>
          <w:sz w:val="24"/>
          <w:lang w:val="es-ES"/>
        </w:rPr>
        <w:t>“Número de pruebas de VIH realizadas por las organizaciones de la sociedad civil (OSC)”</w:t>
      </w:r>
      <w:r w:rsidRPr="00D622DA">
        <w:rPr>
          <w:sz w:val="24"/>
          <w:lang w:val="es-ES"/>
        </w:rPr>
        <w:t xml:space="preserve"> registró un 94 % de ejecución, con 11.998 pruebas realizadas frente a una meta de 12.715. </w:t>
      </w:r>
      <w:r w:rsidRPr="00A35508">
        <w:rPr>
          <w:sz w:val="24"/>
          <w:lang w:val="es-ES"/>
        </w:rPr>
        <w:t xml:space="preserve">Estos resultados reflejan el impacto positivo de la descentralización del testeo, la ampliación de la red de centros notificadores y el trabajo articulado con las OSC, fortaleciendo el acceso equitativo y la detección oportuna del VIH en todo el territorio nacional. </w:t>
      </w:r>
    </w:p>
    <w:p w:rsidR="001F37EB" w:rsidRPr="008C2209" w:rsidRDefault="000B1429" w:rsidP="00A35508">
      <w:pPr>
        <w:jc w:val="both"/>
        <w:rPr>
          <w:sz w:val="24"/>
          <w:lang w:val="es-ES"/>
        </w:rPr>
      </w:pPr>
      <w:r w:rsidRPr="00A35508">
        <w:rPr>
          <w:sz w:val="24"/>
          <w:lang w:val="es-ES"/>
        </w:rPr>
        <w:t>Desde una perspectiva de gestión estratégica, el PRONASIDA consolidó un sistema de notificación</w:t>
      </w:r>
      <w:r w:rsidR="001F37EB" w:rsidRPr="00A35508">
        <w:rPr>
          <w:sz w:val="24"/>
          <w:lang w:val="es-ES"/>
        </w:rPr>
        <w:t xml:space="preserve"> que recibe </w:t>
      </w:r>
      <w:r w:rsidRPr="00A35508">
        <w:rPr>
          <w:sz w:val="24"/>
          <w:lang w:val="es-ES"/>
        </w:rPr>
        <w:t xml:space="preserve">reportes de 1.242 centros del primer nivel de atención, lo que permitió ampliar de manera significativa la vigilancia epidemiológica. </w:t>
      </w:r>
      <w:r w:rsidRPr="008C2209">
        <w:rPr>
          <w:sz w:val="24"/>
          <w:lang w:val="es-ES"/>
        </w:rPr>
        <w:t xml:space="preserve">Este avance estuvo acompañado por la reducción progresiva del uso de medios físicos de notificación, la implementación de procesos de digitalización y la sensibilización sobre la importancia del reporte oportuno, a través de capacitaciones desarrolladas a nivel nacional. </w:t>
      </w:r>
    </w:p>
    <w:p w:rsidR="001F37EB" w:rsidRPr="00A35508" w:rsidRDefault="000B1429" w:rsidP="00A35508">
      <w:pPr>
        <w:jc w:val="both"/>
        <w:rPr>
          <w:sz w:val="24"/>
          <w:lang w:val="es-ES"/>
        </w:rPr>
      </w:pPr>
      <w:r w:rsidRPr="00A35508">
        <w:rPr>
          <w:sz w:val="24"/>
          <w:lang w:val="es-ES"/>
        </w:rPr>
        <w:t xml:space="preserve">Asimismo, el proyecto de pago por incentivos, financiado por el Fondo Mundial de Lucha contra el Sida, la Malaria y la Tuberculosis y dirigido a hospitales especializados y regiones sanitarias, contribuyó al fortalecimiento de la notificación, la vigilancia epidemiológica y la implementación de la </w:t>
      </w:r>
      <w:proofErr w:type="spellStart"/>
      <w:r w:rsidRPr="00A35508">
        <w:rPr>
          <w:sz w:val="24"/>
          <w:lang w:val="es-ES"/>
        </w:rPr>
        <w:t>PrEP</w:t>
      </w:r>
      <w:proofErr w:type="spellEnd"/>
      <w:r w:rsidRPr="00A35508">
        <w:rPr>
          <w:sz w:val="24"/>
          <w:lang w:val="es-ES"/>
        </w:rPr>
        <w:t xml:space="preserve"> en establecimientos dependientes del Ministerio de Salud, consolidando un modelo de gestión orientado a resultados y sostenibilidad.</w:t>
      </w:r>
    </w:p>
    <w:p w:rsidR="000B1429" w:rsidRPr="00A35508" w:rsidRDefault="000B1429" w:rsidP="00A35508">
      <w:pPr>
        <w:jc w:val="both"/>
        <w:rPr>
          <w:sz w:val="24"/>
          <w:lang w:val="es-ES"/>
        </w:rPr>
      </w:pPr>
      <w:r w:rsidRPr="00A35508">
        <w:rPr>
          <w:sz w:val="24"/>
          <w:lang w:val="es-ES"/>
        </w:rPr>
        <w:t xml:space="preserve">En forma complementaria, el PRONASIDA viene impulsando de manera sostenida estrategias orientadas a reducir las barreras de acceso a las pruebas de VIH e ITS, </w:t>
      </w:r>
      <w:r w:rsidRPr="00A35508">
        <w:rPr>
          <w:sz w:val="24"/>
          <w:lang w:val="es-ES"/>
        </w:rPr>
        <w:lastRenderedPageBreak/>
        <w:t xml:space="preserve">facilitar el acceso a la atención de personas con criterios de inicio de </w:t>
      </w:r>
      <w:proofErr w:type="spellStart"/>
      <w:r w:rsidRPr="00A35508">
        <w:rPr>
          <w:sz w:val="24"/>
          <w:lang w:val="es-ES"/>
        </w:rPr>
        <w:t>PrEP</w:t>
      </w:r>
      <w:proofErr w:type="spellEnd"/>
      <w:r w:rsidRPr="00A35508">
        <w:rPr>
          <w:sz w:val="24"/>
          <w:lang w:val="es-ES"/>
        </w:rPr>
        <w:t xml:space="preserve"> y mejorar la calidad del dato. En este marco, se priorizó la descentralización de los servicios, garantizando la disponibilidad de pruebas de VIH en centros de atención primaria y centros de consejería a nivel país, así como la integración de la prueba de VIH en el paquete de atención en Salud Sexual y Reproductiva, incluyendo servicios de tamizaje </w:t>
      </w:r>
      <w:r w:rsidR="00115B13" w:rsidRPr="00A35508">
        <w:rPr>
          <w:sz w:val="24"/>
          <w:lang w:val="es-ES"/>
        </w:rPr>
        <w:t xml:space="preserve">durante el </w:t>
      </w:r>
      <w:r w:rsidR="008C2209">
        <w:rPr>
          <w:sz w:val="24"/>
          <w:lang w:val="es-ES"/>
        </w:rPr>
        <w:t xml:space="preserve">control prenatal, </w:t>
      </w:r>
      <w:r w:rsidRPr="00A35508">
        <w:rPr>
          <w:sz w:val="24"/>
          <w:lang w:val="es-ES"/>
        </w:rPr>
        <w:t>en sala de partos</w:t>
      </w:r>
      <w:r w:rsidR="008C2209">
        <w:rPr>
          <w:sz w:val="24"/>
          <w:lang w:val="es-ES"/>
        </w:rPr>
        <w:t xml:space="preserve"> y urgencias</w:t>
      </w:r>
      <w:r w:rsidRPr="00A35508">
        <w:rPr>
          <w:sz w:val="24"/>
          <w:lang w:val="es-ES"/>
        </w:rPr>
        <w:t>.</w:t>
      </w:r>
    </w:p>
    <w:p w:rsidR="00A35508" w:rsidRDefault="00115B13" w:rsidP="00A35508">
      <w:pPr>
        <w:jc w:val="both"/>
        <w:rPr>
          <w:sz w:val="24"/>
          <w:szCs w:val="24"/>
          <w:lang w:val="es-ES"/>
        </w:rPr>
      </w:pPr>
      <w:r w:rsidRPr="008B4C4F">
        <w:rPr>
          <w:sz w:val="24"/>
          <w:szCs w:val="24"/>
          <w:lang w:val="es-ES"/>
        </w:rPr>
        <w:t>Con el mismo objetivo,</w:t>
      </w:r>
      <w:r w:rsidR="000B1429" w:rsidRPr="008B4C4F">
        <w:rPr>
          <w:sz w:val="24"/>
          <w:szCs w:val="24"/>
          <w:lang w:val="es-ES"/>
        </w:rPr>
        <w:t xml:space="preserve"> PRONASIDA</w:t>
      </w:r>
      <w:r w:rsidRPr="008B4C4F">
        <w:rPr>
          <w:sz w:val="24"/>
          <w:szCs w:val="24"/>
          <w:lang w:val="es-ES"/>
        </w:rPr>
        <w:t xml:space="preserve"> ha implementado el testeo comunitario, mediante la aprobación por Resolución S. G. N° 194/2024, “</w:t>
      </w:r>
      <w:r w:rsidRPr="008B4C4F">
        <w:rPr>
          <w:i/>
          <w:sz w:val="24"/>
          <w:szCs w:val="24"/>
          <w:lang w:val="es-ES"/>
        </w:rPr>
        <w:t xml:space="preserve">Por la cual se establece como estrategia de alcance nacional para la población general y clave, actividades de consejería y testeo voluntario, a través de  las pruebas de tamizaje de </w:t>
      </w:r>
      <w:proofErr w:type="spellStart"/>
      <w:r w:rsidRPr="008B4C4F">
        <w:rPr>
          <w:i/>
          <w:sz w:val="24"/>
          <w:szCs w:val="24"/>
          <w:lang w:val="es-ES"/>
        </w:rPr>
        <w:t>vih</w:t>
      </w:r>
      <w:proofErr w:type="spellEnd"/>
      <w:r w:rsidRPr="008B4C4F">
        <w:rPr>
          <w:i/>
          <w:sz w:val="24"/>
          <w:szCs w:val="24"/>
          <w:lang w:val="es-ES"/>
        </w:rPr>
        <w:t xml:space="preserve">, </w:t>
      </w:r>
      <w:proofErr w:type="spellStart"/>
      <w:r w:rsidRPr="008B4C4F">
        <w:rPr>
          <w:i/>
          <w:sz w:val="24"/>
          <w:szCs w:val="24"/>
          <w:lang w:val="es-ES"/>
        </w:rPr>
        <w:t>sifilis</w:t>
      </w:r>
      <w:proofErr w:type="spellEnd"/>
      <w:r w:rsidRPr="008B4C4F">
        <w:rPr>
          <w:i/>
          <w:sz w:val="24"/>
          <w:szCs w:val="24"/>
          <w:lang w:val="es-ES"/>
        </w:rPr>
        <w:t xml:space="preserve">, hepatitis b y hepatitis c, que puedan ser realizadas por prestadores no profesionales capacitados, certificados y supervisados por el </w:t>
      </w:r>
      <w:r w:rsidR="008C2209">
        <w:rPr>
          <w:i/>
          <w:sz w:val="24"/>
          <w:szCs w:val="24"/>
          <w:lang w:val="es-ES"/>
        </w:rPr>
        <w:t>PRONASIDA</w:t>
      </w:r>
      <w:r w:rsidRPr="008B4C4F">
        <w:rPr>
          <w:i/>
          <w:sz w:val="24"/>
          <w:szCs w:val="24"/>
          <w:lang w:val="es-ES"/>
        </w:rPr>
        <w:t>, en actividades extramurales a través de centros comun</w:t>
      </w:r>
      <w:r w:rsidR="008B4C4F">
        <w:rPr>
          <w:i/>
          <w:sz w:val="24"/>
          <w:szCs w:val="24"/>
          <w:lang w:val="es-ES"/>
        </w:rPr>
        <w:t>i</w:t>
      </w:r>
      <w:r w:rsidRPr="008B4C4F">
        <w:rPr>
          <w:i/>
          <w:sz w:val="24"/>
          <w:szCs w:val="24"/>
          <w:lang w:val="es-ES"/>
        </w:rPr>
        <w:t xml:space="preserve">tarios de testeo” </w:t>
      </w:r>
      <w:r w:rsidRPr="008B4C4F">
        <w:rPr>
          <w:sz w:val="24"/>
          <w:szCs w:val="24"/>
          <w:lang w:val="es-ES"/>
        </w:rPr>
        <w:t xml:space="preserve">y </w:t>
      </w:r>
      <w:r w:rsidR="000B1429" w:rsidRPr="008B4C4F">
        <w:rPr>
          <w:sz w:val="24"/>
          <w:szCs w:val="24"/>
          <w:lang w:val="es-ES"/>
        </w:rPr>
        <w:t>se</w:t>
      </w:r>
      <w:r w:rsidRPr="008B4C4F">
        <w:rPr>
          <w:sz w:val="24"/>
          <w:szCs w:val="24"/>
          <w:lang w:val="es-ES"/>
        </w:rPr>
        <w:t xml:space="preserve"> ha avanzado</w:t>
      </w:r>
      <w:r w:rsidR="000B1429" w:rsidRPr="008B4C4F">
        <w:rPr>
          <w:sz w:val="24"/>
          <w:szCs w:val="24"/>
          <w:lang w:val="es-ES"/>
        </w:rPr>
        <w:t xml:space="preserve"> en la implementación de pruebas autoadministradas (</w:t>
      </w:r>
      <w:proofErr w:type="spellStart"/>
      <w:r w:rsidR="000B1429" w:rsidRPr="008B4C4F">
        <w:rPr>
          <w:sz w:val="24"/>
          <w:szCs w:val="24"/>
          <w:lang w:val="es-ES"/>
        </w:rPr>
        <w:t>autotest</w:t>
      </w:r>
      <w:proofErr w:type="spellEnd"/>
      <w:r w:rsidR="000B1429" w:rsidRPr="008B4C4F">
        <w:rPr>
          <w:sz w:val="24"/>
          <w:szCs w:val="24"/>
          <w:lang w:val="es-ES"/>
        </w:rPr>
        <w:t xml:space="preserve">) de VIH, </w:t>
      </w:r>
      <w:r w:rsidR="00786CF6" w:rsidRPr="008B4C4F">
        <w:rPr>
          <w:sz w:val="24"/>
          <w:szCs w:val="24"/>
          <w:lang w:val="es-ES"/>
        </w:rPr>
        <w:t xml:space="preserve">según Resolución </w:t>
      </w:r>
      <w:proofErr w:type="spellStart"/>
      <w:r w:rsidR="00786CF6" w:rsidRPr="008B4C4F">
        <w:rPr>
          <w:sz w:val="24"/>
          <w:szCs w:val="24"/>
          <w:lang w:val="es-ES"/>
        </w:rPr>
        <w:t>S.G,N°</w:t>
      </w:r>
      <w:proofErr w:type="spellEnd"/>
      <w:r w:rsidR="00786CF6" w:rsidRPr="008B4C4F">
        <w:rPr>
          <w:sz w:val="24"/>
          <w:szCs w:val="24"/>
          <w:lang w:val="es-ES"/>
        </w:rPr>
        <w:t xml:space="preserve"> 050/2024, del 21 de abril del 2024, “P</w:t>
      </w:r>
      <w:r w:rsidR="00786CF6" w:rsidRPr="008B4C4F">
        <w:rPr>
          <w:i/>
          <w:sz w:val="24"/>
          <w:szCs w:val="24"/>
          <w:lang w:val="es-ES"/>
        </w:rPr>
        <w:t>or la cual se aprueba el plan de implementación de pruebas autoadministradas de VIH en Paraguay</w:t>
      </w:r>
      <w:r w:rsidR="00786CF6" w:rsidRPr="008B4C4F">
        <w:rPr>
          <w:sz w:val="24"/>
          <w:szCs w:val="24"/>
          <w:lang w:val="es-ES"/>
        </w:rPr>
        <w:t xml:space="preserve">“, consolidando una </w:t>
      </w:r>
      <w:r w:rsidR="000B1429" w:rsidRPr="008B4C4F">
        <w:rPr>
          <w:sz w:val="24"/>
          <w:szCs w:val="24"/>
          <w:lang w:val="es-ES"/>
        </w:rPr>
        <w:t>alternativa innovadora, amigable y de alta sensibilidad, orientada especialmente a poblaciones clave y vulnerables, contribuyendo de manera sustantiva a la reducción de barreras de acceso, al fortalecimiento del diagnóstico oportuno y a la mejora continua de la respuesta nacional al VIH.</w:t>
      </w:r>
    </w:p>
    <w:p w:rsidR="00A35508" w:rsidRDefault="00A35508" w:rsidP="00A35508">
      <w:pPr>
        <w:jc w:val="both"/>
        <w:rPr>
          <w:sz w:val="24"/>
          <w:szCs w:val="24"/>
          <w:lang w:val="es-ES"/>
        </w:rPr>
      </w:pPr>
    </w:p>
    <w:p w:rsidR="00A35508" w:rsidRPr="00A35508" w:rsidRDefault="00A4776B" w:rsidP="00A35508">
      <w:pPr>
        <w:pStyle w:val="Prrafodelista"/>
        <w:numPr>
          <w:ilvl w:val="0"/>
          <w:numId w:val="20"/>
        </w:numPr>
        <w:ind w:left="426"/>
        <w:jc w:val="both"/>
        <w:rPr>
          <w:sz w:val="24"/>
          <w:szCs w:val="24"/>
          <w:lang w:val="es-ES"/>
        </w:rPr>
      </w:pPr>
      <w:r w:rsidRPr="00A35508">
        <w:rPr>
          <w:b/>
          <w:sz w:val="24"/>
          <w:lang w:val="es-ES"/>
        </w:rPr>
        <w:t>Fortalecimiento de la gobernanza y de la ge</w:t>
      </w:r>
      <w:r w:rsidR="00A35508">
        <w:rPr>
          <w:b/>
          <w:sz w:val="24"/>
          <w:lang w:val="es-ES"/>
        </w:rPr>
        <w:t>stión de la información en salud</w:t>
      </w:r>
    </w:p>
    <w:p w:rsidR="00A35508" w:rsidRPr="008C2209" w:rsidRDefault="00A35508" w:rsidP="00A35508">
      <w:pPr>
        <w:jc w:val="both"/>
        <w:rPr>
          <w:sz w:val="24"/>
          <w:lang w:val="es-ES"/>
        </w:rPr>
      </w:pPr>
      <w:r w:rsidRPr="00A35508">
        <w:rPr>
          <w:sz w:val="24"/>
          <w:lang w:val="es-ES"/>
        </w:rPr>
        <w:t>Este hito se vincula con el indicador “Personas con diagnóstico de VIH registradas en el sistema experto de VIH”, el cual alcanzó un 99 % de ejecución, con 22.221 personas registradas frente a una meta establecida de 22.465. Este alto nivel de cumplimiento refleja el fortalecimiento sostenido de los mecanismos de registro, seguimiento y validación de la información a nivel nacional.</w:t>
      </w:r>
    </w:p>
    <w:p w:rsidR="00A35508" w:rsidRDefault="00A35508" w:rsidP="00A35508">
      <w:pPr>
        <w:jc w:val="both"/>
        <w:rPr>
          <w:sz w:val="24"/>
          <w:lang w:val="es-ES"/>
        </w:rPr>
      </w:pPr>
      <w:r w:rsidRPr="00A35508">
        <w:rPr>
          <w:sz w:val="24"/>
          <w:lang w:val="es-ES"/>
        </w:rPr>
        <w:t>La estandarización de los procesos</w:t>
      </w:r>
      <w:r w:rsidR="008C2209">
        <w:rPr>
          <w:sz w:val="24"/>
          <w:lang w:val="es-ES"/>
        </w:rPr>
        <w:t xml:space="preserve"> de notificación</w:t>
      </w:r>
      <w:r w:rsidRPr="00A35508">
        <w:rPr>
          <w:sz w:val="24"/>
          <w:lang w:val="es-ES"/>
        </w:rPr>
        <w:t xml:space="preserve">, </w:t>
      </w:r>
      <w:r w:rsidR="008C2209">
        <w:rPr>
          <w:sz w:val="24"/>
          <w:lang w:val="es-ES"/>
        </w:rPr>
        <w:t xml:space="preserve">la sensibilización sobre la relevancia de la notificación obligatoria y el registro en el sistema nacional de vigilancia de VIH (sistema experto de VIH), </w:t>
      </w:r>
      <w:r w:rsidRPr="00A35508">
        <w:rPr>
          <w:sz w:val="24"/>
          <w:lang w:val="es-ES"/>
        </w:rPr>
        <w:t xml:space="preserve">la reducción de las fichas de notificación de 13 a 3 y la implementación del Sistema de Información en Salud </w:t>
      </w:r>
      <w:r w:rsidRPr="00A35508">
        <w:rPr>
          <w:b/>
          <w:sz w:val="24"/>
          <w:lang w:val="es-ES"/>
        </w:rPr>
        <w:t>(HIS</w:t>
      </w:r>
      <w:r w:rsidRPr="008C2209">
        <w:rPr>
          <w:sz w:val="24"/>
          <w:lang w:val="es-ES"/>
        </w:rPr>
        <w:t>)</w:t>
      </w:r>
      <w:r w:rsidR="008C2209" w:rsidRPr="008C2209">
        <w:rPr>
          <w:sz w:val="24"/>
          <w:lang w:val="es-ES"/>
        </w:rPr>
        <w:t xml:space="preserve"> para la atención médica de pacientes con VIH</w:t>
      </w:r>
      <w:r w:rsidRPr="00A35508">
        <w:rPr>
          <w:sz w:val="24"/>
          <w:lang w:val="es-ES"/>
        </w:rPr>
        <w:t xml:space="preserve">, </w:t>
      </w:r>
      <w:r w:rsidR="008C2209">
        <w:rPr>
          <w:sz w:val="24"/>
          <w:lang w:val="es-ES"/>
        </w:rPr>
        <w:t>contribuyeron</w:t>
      </w:r>
      <w:r w:rsidRPr="00A35508">
        <w:rPr>
          <w:sz w:val="24"/>
          <w:lang w:val="es-ES"/>
        </w:rPr>
        <w:t xml:space="preserve"> de manera significativa a mejorar la calidad del dato, fortalecer la vigilancia epidemiológica y respaldar la toma de decisiones basada en evidencia. Estas medidas permitieron reducir la carga administrativa, optimizar los flujos de información y garantizar la oportunidad y consistencia de los registros.</w:t>
      </w:r>
    </w:p>
    <w:p w:rsidR="00287886" w:rsidRDefault="00287886" w:rsidP="00A35508">
      <w:pPr>
        <w:jc w:val="both"/>
        <w:rPr>
          <w:sz w:val="24"/>
          <w:lang w:val="es-ES"/>
        </w:rPr>
      </w:pPr>
      <w:r w:rsidRPr="00287886">
        <w:rPr>
          <w:sz w:val="24"/>
          <w:lang w:val="es-ES"/>
        </w:rPr>
        <w:t xml:space="preserve">La implementación del tablero de gestión de VIH, alojado en el Centro de Monitoreo de Indicadores e Información en Salud (CEMIIS), permite la visualización en tiempo real de los datos de tamizaje, nuevos diagnósticos, distribución por franja etaria y por tipo de población, favoreciendo la intervención oportuna del sistema conforme a lo observado. Esta herramienta fortalece el análisis de la información sanitaria y la toma de decisiones basada en evidencia. </w:t>
      </w:r>
    </w:p>
    <w:p w:rsidR="008C2209" w:rsidRDefault="00A35508" w:rsidP="00A35508">
      <w:pPr>
        <w:jc w:val="both"/>
        <w:rPr>
          <w:sz w:val="24"/>
          <w:lang w:val="es-ES"/>
        </w:rPr>
      </w:pPr>
      <w:r w:rsidRPr="00A35508">
        <w:rPr>
          <w:sz w:val="24"/>
          <w:lang w:val="es-ES"/>
        </w:rPr>
        <w:lastRenderedPageBreak/>
        <w:t xml:space="preserve">Asimismo, la implementación del Sistema de Control de Insumos Automatizado del Paraguay </w:t>
      </w:r>
      <w:r w:rsidRPr="00A35508">
        <w:rPr>
          <w:b/>
          <w:sz w:val="24"/>
          <w:lang w:val="es-ES"/>
        </w:rPr>
        <w:t>(SICIAP)</w:t>
      </w:r>
      <w:r w:rsidRPr="00A35508">
        <w:rPr>
          <w:sz w:val="24"/>
          <w:lang w:val="es-ES"/>
        </w:rPr>
        <w:t xml:space="preserve"> </w:t>
      </w:r>
      <w:r w:rsidR="008C2209">
        <w:rPr>
          <w:sz w:val="24"/>
          <w:lang w:val="es-ES"/>
        </w:rPr>
        <w:t xml:space="preserve">ha fortalecido </w:t>
      </w:r>
      <w:r w:rsidRPr="00A35508">
        <w:rPr>
          <w:sz w:val="24"/>
          <w:lang w:val="es-ES"/>
        </w:rPr>
        <w:t xml:space="preserve">la trazabilidad, el control y la gestión de insumos y medicamentos antirretrovirales, asegurando coherencia entre la información clínica, el consumo de medicamentos y la planificación logística. </w:t>
      </w:r>
    </w:p>
    <w:p w:rsidR="00A35508" w:rsidRPr="00A35508" w:rsidRDefault="00A35508" w:rsidP="00A35508">
      <w:pPr>
        <w:jc w:val="both"/>
        <w:rPr>
          <w:sz w:val="24"/>
          <w:lang w:val="es-ES"/>
        </w:rPr>
      </w:pPr>
      <w:r w:rsidRPr="00A35508">
        <w:rPr>
          <w:sz w:val="24"/>
          <w:lang w:val="es-ES"/>
        </w:rPr>
        <w:t>De manera complementaria, la actualización y simplificación de los marcos normativos y técnicos —incluyendo el Consenso Nacional para el Diagnóstico y Tratamiento de VIH e Infecciones Oportunistas (Resolución S.G. N° 258/2025), la Guía de manejo ETMI Plus (Resolución S.G. N° 114/2025) y el Protocolo Clínico y Directrices de profilaxis post exposición y pre exposición al VIH (Resolución S.G. N° 213/2025)— contribuyeron a homogeneizar criterios clínicos, facilitar el registro adecuado de los casos y fortalecer la gestión integral de la información, consolidando un sistema más eficiente, confiable y orientado a resultados.</w:t>
      </w:r>
    </w:p>
    <w:p w:rsidR="00A35508" w:rsidRDefault="00A35508" w:rsidP="00A35508">
      <w:pPr>
        <w:pStyle w:val="Sinespaciado"/>
        <w:spacing w:line="360" w:lineRule="auto"/>
        <w:jc w:val="both"/>
        <w:rPr>
          <w:sz w:val="24"/>
          <w:lang w:val="es-ES"/>
        </w:rPr>
      </w:pPr>
    </w:p>
    <w:p w:rsidR="008B1D56" w:rsidRPr="008B1D56" w:rsidRDefault="0005550A" w:rsidP="008B1D56">
      <w:pPr>
        <w:pStyle w:val="Prrafodelista"/>
        <w:numPr>
          <w:ilvl w:val="0"/>
          <w:numId w:val="20"/>
        </w:numPr>
        <w:ind w:left="426"/>
        <w:rPr>
          <w:sz w:val="24"/>
          <w:lang w:val="es-ES"/>
        </w:rPr>
      </w:pPr>
      <w:r w:rsidRPr="008B1D56">
        <w:rPr>
          <w:b/>
          <w:lang w:val="es-ES"/>
        </w:rPr>
        <w:t xml:space="preserve">Consolidación </w:t>
      </w:r>
      <w:r w:rsidR="008B1D56" w:rsidRPr="008B1D56">
        <w:rPr>
          <w:b/>
          <w:lang w:val="es-ES"/>
        </w:rPr>
        <w:t xml:space="preserve">de las estrategias de prevención de VIH </w:t>
      </w:r>
      <w:r w:rsidRPr="008B1D56">
        <w:rPr>
          <w:b/>
          <w:lang w:val="es-ES"/>
        </w:rPr>
        <w:t xml:space="preserve">y escalamiento de la </w:t>
      </w:r>
      <w:r w:rsidRPr="008B1D56">
        <w:rPr>
          <w:b/>
          <w:sz w:val="24"/>
          <w:lang w:val="es-ES"/>
        </w:rPr>
        <w:t xml:space="preserve">estrategia de </w:t>
      </w:r>
      <w:proofErr w:type="spellStart"/>
      <w:r w:rsidRPr="008B1D56">
        <w:rPr>
          <w:b/>
          <w:sz w:val="24"/>
          <w:lang w:val="es-ES"/>
        </w:rPr>
        <w:t>PrEP</w:t>
      </w:r>
      <w:proofErr w:type="spellEnd"/>
      <w:r w:rsidRPr="008B1D56">
        <w:rPr>
          <w:sz w:val="24"/>
          <w:lang w:val="es-ES"/>
        </w:rPr>
        <w:br/>
      </w:r>
    </w:p>
    <w:p w:rsidR="008B1D56" w:rsidRPr="008B1D56" w:rsidRDefault="0005550A" w:rsidP="008B1D56">
      <w:pPr>
        <w:jc w:val="both"/>
        <w:rPr>
          <w:sz w:val="24"/>
        </w:rPr>
      </w:pPr>
      <w:r w:rsidRPr="008B1D56">
        <w:rPr>
          <w:sz w:val="24"/>
          <w:lang w:val="es-ES"/>
        </w:rPr>
        <w:t xml:space="preserve">Este avance se refleja en el cumplimiento del indicador “Personas en </w:t>
      </w:r>
      <w:proofErr w:type="spellStart"/>
      <w:r w:rsidRPr="008B1D56">
        <w:rPr>
          <w:sz w:val="24"/>
          <w:lang w:val="es-ES"/>
        </w:rPr>
        <w:t>PrEP</w:t>
      </w:r>
      <w:proofErr w:type="spellEnd"/>
      <w:r w:rsidRPr="008B1D56">
        <w:rPr>
          <w:sz w:val="24"/>
          <w:lang w:val="es-ES"/>
        </w:rPr>
        <w:t xml:space="preserve">”, que estableció una meta de 2.400 personas a nivel nacional, logrando un 100 % de ejecución, con 2.405 personas en seguimiento en 2025. </w:t>
      </w:r>
      <w:r w:rsidRPr="008B1D56">
        <w:rPr>
          <w:sz w:val="24"/>
        </w:rPr>
        <w:t xml:space="preserve">La </w:t>
      </w:r>
      <w:proofErr w:type="spellStart"/>
      <w:r w:rsidRPr="008B1D56">
        <w:rPr>
          <w:sz w:val="24"/>
        </w:rPr>
        <w:t>habilitación</w:t>
      </w:r>
      <w:proofErr w:type="spellEnd"/>
      <w:r w:rsidRPr="008B1D56">
        <w:rPr>
          <w:sz w:val="24"/>
        </w:rPr>
        <w:t xml:space="preserve"> </w:t>
      </w:r>
      <w:proofErr w:type="spellStart"/>
      <w:r w:rsidRPr="008B1D56">
        <w:rPr>
          <w:sz w:val="24"/>
        </w:rPr>
        <w:t>progresiva</w:t>
      </w:r>
      <w:proofErr w:type="spellEnd"/>
      <w:r w:rsidRPr="008B1D56">
        <w:rPr>
          <w:sz w:val="24"/>
        </w:rPr>
        <w:t xml:space="preserve"> de 51 </w:t>
      </w:r>
      <w:proofErr w:type="spellStart"/>
      <w:r w:rsidRPr="008B1D56">
        <w:rPr>
          <w:sz w:val="24"/>
        </w:rPr>
        <w:t>centros</w:t>
      </w:r>
      <w:proofErr w:type="spellEnd"/>
      <w:r w:rsidRPr="008B1D56">
        <w:rPr>
          <w:sz w:val="24"/>
        </w:rPr>
        <w:t xml:space="preserve"> para la </w:t>
      </w:r>
      <w:proofErr w:type="spellStart"/>
      <w:r w:rsidRPr="008B1D56">
        <w:rPr>
          <w:sz w:val="24"/>
        </w:rPr>
        <w:t>provisión</w:t>
      </w:r>
      <w:proofErr w:type="spellEnd"/>
      <w:r w:rsidRPr="008B1D56">
        <w:rPr>
          <w:sz w:val="24"/>
        </w:rPr>
        <w:t xml:space="preserve"> de </w:t>
      </w:r>
      <w:proofErr w:type="spellStart"/>
      <w:r w:rsidRPr="008B1D56">
        <w:rPr>
          <w:sz w:val="24"/>
        </w:rPr>
        <w:t>PrEP</w:t>
      </w:r>
      <w:proofErr w:type="spellEnd"/>
      <w:r w:rsidRPr="008B1D56">
        <w:rPr>
          <w:sz w:val="24"/>
        </w:rPr>
        <w:t xml:space="preserve"> y </w:t>
      </w:r>
      <w:proofErr w:type="spellStart"/>
      <w:r w:rsidRPr="008B1D56">
        <w:rPr>
          <w:sz w:val="24"/>
        </w:rPr>
        <w:t>su</w:t>
      </w:r>
      <w:proofErr w:type="spellEnd"/>
      <w:r w:rsidRPr="008B1D56">
        <w:rPr>
          <w:sz w:val="24"/>
        </w:rPr>
        <w:t xml:space="preserve"> </w:t>
      </w:r>
      <w:proofErr w:type="spellStart"/>
      <w:r w:rsidRPr="008B1D56">
        <w:rPr>
          <w:sz w:val="24"/>
        </w:rPr>
        <w:t>integración</w:t>
      </w:r>
      <w:proofErr w:type="spellEnd"/>
      <w:r w:rsidRPr="008B1D56">
        <w:rPr>
          <w:sz w:val="24"/>
        </w:rPr>
        <w:t xml:space="preserve"> </w:t>
      </w:r>
      <w:proofErr w:type="spellStart"/>
      <w:r w:rsidRPr="008B1D56">
        <w:rPr>
          <w:sz w:val="24"/>
        </w:rPr>
        <w:t>en</w:t>
      </w:r>
      <w:proofErr w:type="spellEnd"/>
      <w:r w:rsidRPr="008B1D56">
        <w:rPr>
          <w:sz w:val="24"/>
        </w:rPr>
        <w:t xml:space="preserve"> el primer </w:t>
      </w:r>
      <w:proofErr w:type="spellStart"/>
      <w:r w:rsidRPr="008B1D56">
        <w:rPr>
          <w:sz w:val="24"/>
        </w:rPr>
        <w:t>nivel</w:t>
      </w:r>
      <w:proofErr w:type="spellEnd"/>
      <w:r w:rsidRPr="008B1D56">
        <w:rPr>
          <w:sz w:val="24"/>
        </w:rPr>
        <w:t xml:space="preserve"> de </w:t>
      </w:r>
      <w:proofErr w:type="spellStart"/>
      <w:r w:rsidRPr="008B1D56">
        <w:rPr>
          <w:sz w:val="24"/>
        </w:rPr>
        <w:t>atención</w:t>
      </w:r>
      <w:proofErr w:type="spellEnd"/>
      <w:r w:rsidRPr="008B1D56">
        <w:rPr>
          <w:sz w:val="24"/>
        </w:rPr>
        <w:t xml:space="preserve"> </w:t>
      </w:r>
      <w:proofErr w:type="spellStart"/>
      <w:r w:rsidRPr="008B1D56">
        <w:rPr>
          <w:sz w:val="24"/>
        </w:rPr>
        <w:t>consolidan</w:t>
      </w:r>
      <w:proofErr w:type="spellEnd"/>
      <w:r w:rsidRPr="008B1D56">
        <w:rPr>
          <w:sz w:val="24"/>
        </w:rPr>
        <w:t xml:space="preserve"> </w:t>
      </w:r>
      <w:proofErr w:type="spellStart"/>
      <w:r w:rsidRPr="008B1D56">
        <w:rPr>
          <w:sz w:val="24"/>
        </w:rPr>
        <w:t>esta</w:t>
      </w:r>
      <w:proofErr w:type="spellEnd"/>
      <w:r w:rsidRPr="008B1D56">
        <w:rPr>
          <w:sz w:val="24"/>
        </w:rPr>
        <w:t xml:space="preserve"> </w:t>
      </w:r>
      <w:proofErr w:type="spellStart"/>
      <w:r w:rsidRPr="008B1D56">
        <w:rPr>
          <w:sz w:val="24"/>
        </w:rPr>
        <w:t>estrategia</w:t>
      </w:r>
      <w:proofErr w:type="spellEnd"/>
      <w:r w:rsidRPr="008B1D56">
        <w:rPr>
          <w:sz w:val="24"/>
        </w:rPr>
        <w:t xml:space="preserve"> </w:t>
      </w:r>
      <w:proofErr w:type="spellStart"/>
      <w:r w:rsidRPr="008B1D56">
        <w:rPr>
          <w:sz w:val="24"/>
        </w:rPr>
        <w:t>como</w:t>
      </w:r>
      <w:proofErr w:type="spellEnd"/>
      <w:r w:rsidRPr="008B1D56">
        <w:rPr>
          <w:sz w:val="24"/>
        </w:rPr>
        <w:t xml:space="preserve"> un </w:t>
      </w:r>
      <w:proofErr w:type="spellStart"/>
      <w:r w:rsidRPr="008B1D56">
        <w:rPr>
          <w:sz w:val="24"/>
        </w:rPr>
        <w:t>componente</w:t>
      </w:r>
      <w:proofErr w:type="spellEnd"/>
      <w:r w:rsidRPr="008B1D56">
        <w:rPr>
          <w:sz w:val="24"/>
        </w:rPr>
        <w:t xml:space="preserve"> clave de la </w:t>
      </w:r>
      <w:proofErr w:type="spellStart"/>
      <w:r w:rsidRPr="008B1D56">
        <w:rPr>
          <w:sz w:val="24"/>
        </w:rPr>
        <w:t>prevención</w:t>
      </w:r>
      <w:proofErr w:type="spellEnd"/>
      <w:r w:rsidRPr="008B1D56">
        <w:rPr>
          <w:sz w:val="24"/>
        </w:rPr>
        <w:t xml:space="preserve"> </w:t>
      </w:r>
      <w:proofErr w:type="spellStart"/>
      <w:r w:rsidRPr="008B1D56">
        <w:rPr>
          <w:sz w:val="24"/>
        </w:rPr>
        <w:t>combinada</w:t>
      </w:r>
      <w:proofErr w:type="spellEnd"/>
      <w:r w:rsidRPr="008B1D56">
        <w:rPr>
          <w:sz w:val="24"/>
        </w:rPr>
        <w:t xml:space="preserve"> del VIH, con </w:t>
      </w:r>
      <w:proofErr w:type="spellStart"/>
      <w:r w:rsidRPr="008B1D56">
        <w:rPr>
          <w:sz w:val="24"/>
        </w:rPr>
        <w:t>énfasis</w:t>
      </w:r>
      <w:proofErr w:type="spellEnd"/>
      <w:r w:rsidRPr="008B1D56">
        <w:rPr>
          <w:sz w:val="24"/>
        </w:rPr>
        <w:t xml:space="preserve"> </w:t>
      </w:r>
      <w:proofErr w:type="spellStart"/>
      <w:r w:rsidRPr="008B1D56">
        <w:rPr>
          <w:sz w:val="24"/>
        </w:rPr>
        <w:t>en</w:t>
      </w:r>
      <w:proofErr w:type="spellEnd"/>
      <w:r w:rsidRPr="008B1D56">
        <w:rPr>
          <w:sz w:val="24"/>
        </w:rPr>
        <w:t xml:space="preserve"> </w:t>
      </w:r>
      <w:proofErr w:type="spellStart"/>
      <w:r w:rsidRPr="008B1D56">
        <w:rPr>
          <w:sz w:val="24"/>
        </w:rPr>
        <w:t>poblaciones</w:t>
      </w:r>
      <w:proofErr w:type="spellEnd"/>
      <w:r w:rsidRPr="008B1D56">
        <w:rPr>
          <w:sz w:val="24"/>
        </w:rPr>
        <w:t xml:space="preserve"> clave y </w:t>
      </w:r>
      <w:proofErr w:type="spellStart"/>
      <w:r w:rsidRPr="008B1D56">
        <w:rPr>
          <w:sz w:val="24"/>
        </w:rPr>
        <w:t>territorios</w:t>
      </w:r>
      <w:proofErr w:type="spellEnd"/>
      <w:r w:rsidRPr="008B1D56">
        <w:rPr>
          <w:sz w:val="24"/>
        </w:rPr>
        <w:t xml:space="preserve"> </w:t>
      </w:r>
      <w:proofErr w:type="spellStart"/>
      <w:r w:rsidRPr="008B1D56">
        <w:rPr>
          <w:sz w:val="24"/>
        </w:rPr>
        <w:t>priorizados</w:t>
      </w:r>
      <w:proofErr w:type="spellEnd"/>
      <w:r w:rsidRPr="008B1D56">
        <w:rPr>
          <w:sz w:val="24"/>
        </w:rPr>
        <w:t>.</w:t>
      </w:r>
      <w:r w:rsidR="00780613" w:rsidRPr="008B1D56">
        <w:rPr>
          <w:sz w:val="24"/>
        </w:rPr>
        <w:t xml:space="preserve"> </w:t>
      </w:r>
    </w:p>
    <w:p w:rsidR="008B1D56" w:rsidRPr="008B1D56" w:rsidRDefault="008B1D56" w:rsidP="008B1D56">
      <w:pPr>
        <w:jc w:val="both"/>
        <w:rPr>
          <w:sz w:val="24"/>
        </w:rPr>
      </w:pPr>
      <w:r w:rsidRPr="008B1D56">
        <w:rPr>
          <w:sz w:val="24"/>
          <w:lang w:val="es-ES"/>
        </w:rPr>
        <w:t>Desde julio de 2024 el p</w:t>
      </w:r>
      <w:r>
        <w:rPr>
          <w:sz w:val="24"/>
          <w:lang w:val="es-ES"/>
        </w:rPr>
        <w:t xml:space="preserve">aís ha establecido como estrategia prioritaria </w:t>
      </w:r>
      <w:r w:rsidRPr="008B1D56">
        <w:rPr>
          <w:sz w:val="24"/>
          <w:lang w:val="es-ES"/>
        </w:rPr>
        <w:t xml:space="preserve">la eliminación de la transmisión materno-infantil de VIH mediante la Estrategia ETMI Plus, cuya aplicación nacional fue reafirmada por la resolución que aprueba y dispone su implementación en todo el territorio. </w:t>
      </w:r>
      <w:r w:rsidRPr="008B1D56">
        <w:rPr>
          <w:sz w:val="24"/>
        </w:rPr>
        <w:t xml:space="preserve">La red de </w:t>
      </w:r>
      <w:proofErr w:type="spellStart"/>
      <w:r w:rsidRPr="008B1D56">
        <w:rPr>
          <w:sz w:val="24"/>
        </w:rPr>
        <w:t>servicios</w:t>
      </w:r>
      <w:proofErr w:type="spellEnd"/>
      <w:r w:rsidRPr="008B1D56">
        <w:rPr>
          <w:sz w:val="24"/>
        </w:rPr>
        <w:t xml:space="preserve"> </w:t>
      </w:r>
      <w:proofErr w:type="spellStart"/>
      <w:r w:rsidRPr="008B1D56">
        <w:rPr>
          <w:sz w:val="24"/>
        </w:rPr>
        <w:t>habilitados</w:t>
      </w:r>
      <w:proofErr w:type="spellEnd"/>
      <w:r w:rsidRPr="008B1D56">
        <w:rPr>
          <w:sz w:val="24"/>
        </w:rPr>
        <w:t xml:space="preserve"> </w:t>
      </w:r>
      <w:proofErr w:type="spellStart"/>
      <w:r w:rsidRPr="008B1D56">
        <w:rPr>
          <w:sz w:val="24"/>
        </w:rPr>
        <w:t>creció</w:t>
      </w:r>
      <w:proofErr w:type="spellEnd"/>
      <w:r w:rsidRPr="008B1D56">
        <w:rPr>
          <w:sz w:val="24"/>
        </w:rPr>
        <w:t xml:space="preserve"> de 18 </w:t>
      </w:r>
      <w:proofErr w:type="spellStart"/>
      <w:r w:rsidRPr="008B1D56">
        <w:rPr>
          <w:sz w:val="24"/>
        </w:rPr>
        <w:t>centros</w:t>
      </w:r>
      <w:proofErr w:type="spellEnd"/>
      <w:r w:rsidRPr="008B1D56">
        <w:rPr>
          <w:sz w:val="24"/>
        </w:rPr>
        <w:t xml:space="preserve"> </w:t>
      </w:r>
      <w:proofErr w:type="spellStart"/>
      <w:r w:rsidRPr="008B1D56">
        <w:rPr>
          <w:sz w:val="24"/>
        </w:rPr>
        <w:t>en</w:t>
      </w:r>
      <w:proofErr w:type="spellEnd"/>
      <w:r w:rsidRPr="008B1D56">
        <w:rPr>
          <w:sz w:val="24"/>
        </w:rPr>
        <w:t xml:space="preserve"> 2023 a 252 </w:t>
      </w:r>
      <w:proofErr w:type="spellStart"/>
      <w:r w:rsidRPr="008B1D56">
        <w:rPr>
          <w:sz w:val="24"/>
        </w:rPr>
        <w:t>establecimientos</w:t>
      </w:r>
      <w:proofErr w:type="spellEnd"/>
      <w:r w:rsidRPr="008B1D56">
        <w:rPr>
          <w:sz w:val="24"/>
        </w:rPr>
        <w:t xml:space="preserve"> </w:t>
      </w:r>
      <w:proofErr w:type="spellStart"/>
      <w:r w:rsidRPr="008B1D56">
        <w:rPr>
          <w:sz w:val="24"/>
        </w:rPr>
        <w:t>en</w:t>
      </w:r>
      <w:proofErr w:type="spellEnd"/>
      <w:r w:rsidRPr="008B1D56">
        <w:rPr>
          <w:sz w:val="24"/>
        </w:rPr>
        <w:t xml:space="preserve"> 2025, con un </w:t>
      </w:r>
      <w:proofErr w:type="spellStart"/>
      <w:r w:rsidRPr="008B1D56">
        <w:rPr>
          <w:sz w:val="24"/>
        </w:rPr>
        <w:t>aumento</w:t>
      </w:r>
      <w:proofErr w:type="spellEnd"/>
      <w:r w:rsidRPr="008B1D56">
        <w:rPr>
          <w:sz w:val="24"/>
        </w:rPr>
        <w:t xml:space="preserve"> del 1300%, </w:t>
      </w:r>
      <w:proofErr w:type="spellStart"/>
      <w:r w:rsidRPr="008B1D56">
        <w:rPr>
          <w:sz w:val="24"/>
        </w:rPr>
        <w:t>incorporando</w:t>
      </w:r>
      <w:proofErr w:type="spellEnd"/>
      <w:r w:rsidRPr="008B1D56">
        <w:rPr>
          <w:sz w:val="24"/>
        </w:rPr>
        <w:t xml:space="preserve"> 73 </w:t>
      </w:r>
      <w:proofErr w:type="spellStart"/>
      <w:r w:rsidRPr="008B1D56">
        <w:rPr>
          <w:sz w:val="24"/>
        </w:rPr>
        <w:t>hospitales</w:t>
      </w:r>
      <w:proofErr w:type="spellEnd"/>
      <w:r w:rsidRPr="008B1D56">
        <w:rPr>
          <w:sz w:val="24"/>
        </w:rPr>
        <w:t xml:space="preserve"> y 179 </w:t>
      </w:r>
      <w:proofErr w:type="spellStart"/>
      <w:r w:rsidRPr="008B1D56">
        <w:rPr>
          <w:sz w:val="24"/>
        </w:rPr>
        <w:t>Unidades</w:t>
      </w:r>
      <w:proofErr w:type="spellEnd"/>
      <w:r w:rsidRPr="008B1D56">
        <w:rPr>
          <w:sz w:val="24"/>
        </w:rPr>
        <w:t xml:space="preserve"> de </w:t>
      </w:r>
      <w:proofErr w:type="spellStart"/>
      <w:r w:rsidRPr="008B1D56">
        <w:rPr>
          <w:sz w:val="24"/>
        </w:rPr>
        <w:t>Salud</w:t>
      </w:r>
      <w:proofErr w:type="spellEnd"/>
      <w:r w:rsidRPr="008B1D56">
        <w:rPr>
          <w:sz w:val="24"/>
        </w:rPr>
        <w:t xml:space="preserve"> de la Familia para </w:t>
      </w:r>
      <w:proofErr w:type="spellStart"/>
      <w:r w:rsidRPr="008B1D56">
        <w:rPr>
          <w:sz w:val="24"/>
        </w:rPr>
        <w:t>asegurar</w:t>
      </w:r>
      <w:proofErr w:type="spellEnd"/>
      <w:r w:rsidRPr="008B1D56">
        <w:rPr>
          <w:sz w:val="24"/>
        </w:rPr>
        <w:t xml:space="preserve"> </w:t>
      </w:r>
      <w:proofErr w:type="spellStart"/>
      <w:r w:rsidRPr="008B1D56">
        <w:rPr>
          <w:sz w:val="24"/>
        </w:rPr>
        <w:t>diagnóstico</w:t>
      </w:r>
      <w:proofErr w:type="spellEnd"/>
      <w:r w:rsidRPr="008B1D56">
        <w:rPr>
          <w:sz w:val="24"/>
        </w:rPr>
        <w:t xml:space="preserve"> </w:t>
      </w:r>
      <w:proofErr w:type="spellStart"/>
      <w:r w:rsidRPr="008B1D56">
        <w:rPr>
          <w:sz w:val="24"/>
        </w:rPr>
        <w:t>temprano</w:t>
      </w:r>
      <w:proofErr w:type="spellEnd"/>
      <w:r w:rsidRPr="008B1D56">
        <w:rPr>
          <w:sz w:val="24"/>
        </w:rPr>
        <w:t xml:space="preserve">, </w:t>
      </w:r>
      <w:proofErr w:type="spellStart"/>
      <w:r w:rsidRPr="008B1D56">
        <w:rPr>
          <w:sz w:val="24"/>
        </w:rPr>
        <w:t>seguimiento</w:t>
      </w:r>
      <w:proofErr w:type="spellEnd"/>
      <w:r w:rsidRPr="008B1D56">
        <w:rPr>
          <w:sz w:val="24"/>
        </w:rPr>
        <w:t xml:space="preserve"> prenatal y </w:t>
      </w:r>
      <w:proofErr w:type="spellStart"/>
      <w:r w:rsidRPr="008B1D56">
        <w:rPr>
          <w:sz w:val="24"/>
        </w:rPr>
        <w:t>acceso</w:t>
      </w:r>
      <w:proofErr w:type="spellEnd"/>
      <w:r w:rsidRPr="008B1D56">
        <w:rPr>
          <w:sz w:val="24"/>
        </w:rPr>
        <w:t xml:space="preserve"> </w:t>
      </w:r>
      <w:proofErr w:type="spellStart"/>
      <w:r w:rsidRPr="008B1D56">
        <w:rPr>
          <w:sz w:val="24"/>
        </w:rPr>
        <w:t>oportuno</w:t>
      </w:r>
      <w:proofErr w:type="spellEnd"/>
      <w:r w:rsidRPr="008B1D56">
        <w:rPr>
          <w:sz w:val="24"/>
        </w:rPr>
        <w:t xml:space="preserve"> al </w:t>
      </w:r>
      <w:proofErr w:type="spellStart"/>
      <w:r w:rsidRPr="008B1D56">
        <w:rPr>
          <w:sz w:val="24"/>
        </w:rPr>
        <w:t>tratamiento</w:t>
      </w:r>
      <w:proofErr w:type="spellEnd"/>
      <w:r w:rsidRPr="008B1D56">
        <w:rPr>
          <w:sz w:val="24"/>
        </w:rPr>
        <w:t>.</w:t>
      </w:r>
    </w:p>
    <w:p w:rsidR="008B1D56" w:rsidRPr="008B1D56" w:rsidRDefault="008B1D56" w:rsidP="008B1D56">
      <w:pPr>
        <w:jc w:val="both"/>
        <w:rPr>
          <w:sz w:val="24"/>
        </w:rPr>
      </w:pPr>
      <w:r w:rsidRPr="008B1D56">
        <w:rPr>
          <w:sz w:val="24"/>
        </w:rPr>
        <w:t xml:space="preserve">La </w:t>
      </w:r>
      <w:proofErr w:type="spellStart"/>
      <w:r w:rsidRPr="008B1D56">
        <w:rPr>
          <w:sz w:val="24"/>
        </w:rPr>
        <w:t>profilaxis</w:t>
      </w:r>
      <w:proofErr w:type="spellEnd"/>
      <w:r w:rsidRPr="008B1D56">
        <w:rPr>
          <w:sz w:val="24"/>
        </w:rPr>
        <w:t xml:space="preserve"> post </w:t>
      </w:r>
      <w:proofErr w:type="spellStart"/>
      <w:r w:rsidRPr="008B1D56">
        <w:rPr>
          <w:sz w:val="24"/>
        </w:rPr>
        <w:t>exposición</w:t>
      </w:r>
      <w:proofErr w:type="spellEnd"/>
      <w:r w:rsidRPr="008B1D56">
        <w:rPr>
          <w:sz w:val="24"/>
        </w:rPr>
        <w:t xml:space="preserve"> se </w:t>
      </w:r>
      <w:proofErr w:type="spellStart"/>
      <w:r w:rsidRPr="008B1D56">
        <w:rPr>
          <w:sz w:val="24"/>
        </w:rPr>
        <w:t>consolidó</w:t>
      </w:r>
      <w:proofErr w:type="spellEnd"/>
      <w:r w:rsidRPr="008B1D56">
        <w:rPr>
          <w:sz w:val="24"/>
        </w:rPr>
        <w:t xml:space="preserve"> con </w:t>
      </w:r>
      <w:proofErr w:type="spellStart"/>
      <w:r w:rsidRPr="008B1D56">
        <w:rPr>
          <w:sz w:val="24"/>
        </w:rPr>
        <w:t>capacitación</w:t>
      </w:r>
      <w:proofErr w:type="spellEnd"/>
      <w:r w:rsidRPr="008B1D56">
        <w:rPr>
          <w:sz w:val="24"/>
        </w:rPr>
        <w:t xml:space="preserve"> a </w:t>
      </w:r>
      <w:proofErr w:type="spellStart"/>
      <w:r w:rsidRPr="008B1D56">
        <w:rPr>
          <w:sz w:val="24"/>
        </w:rPr>
        <w:t>profesionales</w:t>
      </w:r>
      <w:proofErr w:type="spellEnd"/>
      <w:r w:rsidRPr="008B1D56">
        <w:rPr>
          <w:sz w:val="24"/>
        </w:rPr>
        <w:t xml:space="preserve">, </w:t>
      </w:r>
      <w:proofErr w:type="spellStart"/>
      <w:r w:rsidRPr="008B1D56">
        <w:rPr>
          <w:sz w:val="24"/>
        </w:rPr>
        <w:t>entrega</w:t>
      </w:r>
      <w:proofErr w:type="spellEnd"/>
      <w:r w:rsidRPr="008B1D56">
        <w:rPr>
          <w:sz w:val="24"/>
        </w:rPr>
        <w:t xml:space="preserve"> de kits de </w:t>
      </w:r>
      <w:proofErr w:type="spellStart"/>
      <w:r w:rsidRPr="008B1D56">
        <w:rPr>
          <w:sz w:val="24"/>
        </w:rPr>
        <w:t>emergencia</w:t>
      </w:r>
      <w:proofErr w:type="spellEnd"/>
      <w:r w:rsidRPr="008B1D56">
        <w:rPr>
          <w:sz w:val="24"/>
        </w:rPr>
        <w:t xml:space="preserve"> y </w:t>
      </w:r>
      <w:proofErr w:type="spellStart"/>
      <w:r w:rsidRPr="008B1D56">
        <w:rPr>
          <w:sz w:val="24"/>
        </w:rPr>
        <w:t>difusión</w:t>
      </w:r>
      <w:proofErr w:type="spellEnd"/>
      <w:r w:rsidRPr="008B1D56">
        <w:rPr>
          <w:sz w:val="24"/>
        </w:rPr>
        <w:t xml:space="preserve"> de </w:t>
      </w:r>
      <w:proofErr w:type="spellStart"/>
      <w:r w:rsidRPr="008B1D56">
        <w:rPr>
          <w:sz w:val="24"/>
        </w:rPr>
        <w:t>algoritmos</w:t>
      </w:r>
      <w:proofErr w:type="spellEnd"/>
      <w:r w:rsidRPr="008B1D56">
        <w:rPr>
          <w:sz w:val="24"/>
        </w:rPr>
        <w:t xml:space="preserve"> para </w:t>
      </w:r>
      <w:proofErr w:type="spellStart"/>
      <w:r w:rsidRPr="008B1D56">
        <w:rPr>
          <w:sz w:val="24"/>
        </w:rPr>
        <w:t>exposiciones</w:t>
      </w:r>
      <w:proofErr w:type="spellEnd"/>
      <w:r w:rsidRPr="008B1D56">
        <w:rPr>
          <w:sz w:val="24"/>
        </w:rPr>
        <w:t xml:space="preserve"> </w:t>
      </w:r>
      <w:proofErr w:type="spellStart"/>
      <w:r w:rsidRPr="008B1D56">
        <w:rPr>
          <w:sz w:val="24"/>
        </w:rPr>
        <w:t>ocupacionales</w:t>
      </w:r>
      <w:proofErr w:type="spellEnd"/>
      <w:r w:rsidRPr="008B1D56">
        <w:rPr>
          <w:sz w:val="24"/>
        </w:rPr>
        <w:t xml:space="preserve"> y no </w:t>
      </w:r>
      <w:proofErr w:type="spellStart"/>
      <w:r w:rsidRPr="008B1D56">
        <w:rPr>
          <w:sz w:val="24"/>
        </w:rPr>
        <w:t>ocupacionales</w:t>
      </w:r>
      <w:proofErr w:type="spellEnd"/>
      <w:r w:rsidRPr="008B1D56">
        <w:rPr>
          <w:sz w:val="24"/>
        </w:rPr>
        <w:t xml:space="preserve">, </w:t>
      </w:r>
      <w:proofErr w:type="spellStart"/>
      <w:r w:rsidRPr="008B1D56">
        <w:rPr>
          <w:sz w:val="24"/>
        </w:rPr>
        <w:t>garantizando</w:t>
      </w:r>
      <w:proofErr w:type="spellEnd"/>
      <w:r w:rsidRPr="008B1D56">
        <w:rPr>
          <w:sz w:val="24"/>
        </w:rPr>
        <w:t xml:space="preserve"> </w:t>
      </w:r>
      <w:proofErr w:type="spellStart"/>
      <w:r w:rsidRPr="008B1D56">
        <w:rPr>
          <w:sz w:val="24"/>
        </w:rPr>
        <w:t>respuesta</w:t>
      </w:r>
      <w:proofErr w:type="spellEnd"/>
      <w:r w:rsidRPr="008B1D56">
        <w:rPr>
          <w:sz w:val="24"/>
        </w:rPr>
        <w:t xml:space="preserve"> </w:t>
      </w:r>
      <w:proofErr w:type="spellStart"/>
      <w:r w:rsidRPr="008B1D56">
        <w:rPr>
          <w:sz w:val="24"/>
        </w:rPr>
        <w:t>inmediata</w:t>
      </w:r>
      <w:proofErr w:type="spellEnd"/>
      <w:r w:rsidRPr="008B1D56">
        <w:rPr>
          <w:sz w:val="24"/>
        </w:rPr>
        <w:t xml:space="preserve"> ante </w:t>
      </w:r>
      <w:proofErr w:type="spellStart"/>
      <w:r w:rsidRPr="008B1D56">
        <w:rPr>
          <w:sz w:val="24"/>
        </w:rPr>
        <w:t>situaciones</w:t>
      </w:r>
      <w:proofErr w:type="spellEnd"/>
      <w:r w:rsidRPr="008B1D56">
        <w:rPr>
          <w:sz w:val="24"/>
        </w:rPr>
        <w:t xml:space="preserve"> de </w:t>
      </w:r>
      <w:proofErr w:type="spellStart"/>
      <w:r w:rsidRPr="008B1D56">
        <w:rPr>
          <w:sz w:val="24"/>
        </w:rPr>
        <w:t>riesgo</w:t>
      </w:r>
      <w:proofErr w:type="spellEnd"/>
      <w:r w:rsidRPr="008B1D56">
        <w:rPr>
          <w:sz w:val="24"/>
        </w:rPr>
        <w:t>.</w:t>
      </w:r>
    </w:p>
    <w:p w:rsidR="008B1D56" w:rsidRPr="008B1D56" w:rsidRDefault="008B1D56" w:rsidP="008B1D56">
      <w:pPr>
        <w:jc w:val="both"/>
        <w:rPr>
          <w:sz w:val="24"/>
        </w:rPr>
      </w:pPr>
      <w:r w:rsidRPr="008B1D56">
        <w:rPr>
          <w:sz w:val="24"/>
        </w:rPr>
        <w:t xml:space="preserve">La </w:t>
      </w:r>
      <w:proofErr w:type="spellStart"/>
      <w:r w:rsidRPr="008B1D56">
        <w:rPr>
          <w:sz w:val="24"/>
        </w:rPr>
        <w:t>PrEP</w:t>
      </w:r>
      <w:proofErr w:type="spellEnd"/>
      <w:r w:rsidRPr="008B1D56">
        <w:rPr>
          <w:sz w:val="24"/>
        </w:rPr>
        <w:t xml:space="preserve"> se </w:t>
      </w:r>
      <w:proofErr w:type="spellStart"/>
      <w:r w:rsidRPr="008B1D56">
        <w:rPr>
          <w:sz w:val="24"/>
        </w:rPr>
        <w:t>expandió</w:t>
      </w:r>
      <w:proofErr w:type="spellEnd"/>
      <w:r w:rsidRPr="008B1D56">
        <w:rPr>
          <w:sz w:val="24"/>
        </w:rPr>
        <w:t xml:space="preserve"> de 2 </w:t>
      </w:r>
      <w:proofErr w:type="spellStart"/>
      <w:r w:rsidRPr="008B1D56">
        <w:rPr>
          <w:sz w:val="24"/>
        </w:rPr>
        <w:t>centros</w:t>
      </w:r>
      <w:proofErr w:type="spellEnd"/>
      <w:r w:rsidRPr="008B1D56">
        <w:rPr>
          <w:sz w:val="24"/>
        </w:rPr>
        <w:t xml:space="preserve"> y 293 </w:t>
      </w:r>
      <w:proofErr w:type="spellStart"/>
      <w:r w:rsidRPr="008B1D56">
        <w:rPr>
          <w:sz w:val="24"/>
        </w:rPr>
        <w:t>usuarios</w:t>
      </w:r>
      <w:proofErr w:type="spellEnd"/>
      <w:r w:rsidRPr="008B1D56">
        <w:rPr>
          <w:sz w:val="24"/>
        </w:rPr>
        <w:t xml:space="preserve"> </w:t>
      </w:r>
      <w:proofErr w:type="spellStart"/>
      <w:r w:rsidRPr="008B1D56">
        <w:rPr>
          <w:sz w:val="24"/>
        </w:rPr>
        <w:t>en</w:t>
      </w:r>
      <w:proofErr w:type="spellEnd"/>
      <w:r w:rsidRPr="008B1D56">
        <w:rPr>
          <w:sz w:val="24"/>
        </w:rPr>
        <w:t xml:space="preserve"> los </w:t>
      </w:r>
      <w:proofErr w:type="spellStart"/>
      <w:r w:rsidRPr="008B1D56">
        <w:rPr>
          <w:sz w:val="24"/>
        </w:rPr>
        <w:t>inicios</w:t>
      </w:r>
      <w:proofErr w:type="spellEnd"/>
      <w:r w:rsidRPr="008B1D56">
        <w:rPr>
          <w:sz w:val="24"/>
        </w:rPr>
        <w:t xml:space="preserve"> del </w:t>
      </w:r>
      <w:proofErr w:type="spellStart"/>
      <w:r w:rsidRPr="008B1D56">
        <w:rPr>
          <w:sz w:val="24"/>
        </w:rPr>
        <w:t>programa</w:t>
      </w:r>
      <w:proofErr w:type="spellEnd"/>
      <w:r w:rsidRPr="008B1D56">
        <w:rPr>
          <w:sz w:val="24"/>
        </w:rPr>
        <w:t xml:space="preserve"> a 51 </w:t>
      </w:r>
      <w:proofErr w:type="spellStart"/>
      <w:r w:rsidRPr="008B1D56">
        <w:rPr>
          <w:sz w:val="24"/>
        </w:rPr>
        <w:t>centros</w:t>
      </w:r>
      <w:proofErr w:type="spellEnd"/>
      <w:r w:rsidRPr="008B1D56">
        <w:rPr>
          <w:sz w:val="24"/>
        </w:rPr>
        <w:t xml:space="preserve"> y 2405 </w:t>
      </w:r>
      <w:proofErr w:type="spellStart"/>
      <w:r w:rsidRPr="008B1D56">
        <w:rPr>
          <w:sz w:val="24"/>
        </w:rPr>
        <w:t>usuarios</w:t>
      </w:r>
      <w:proofErr w:type="spellEnd"/>
      <w:r w:rsidRPr="008B1D56">
        <w:rPr>
          <w:sz w:val="24"/>
        </w:rPr>
        <w:t xml:space="preserve"> </w:t>
      </w:r>
      <w:proofErr w:type="spellStart"/>
      <w:r w:rsidRPr="008B1D56">
        <w:rPr>
          <w:sz w:val="24"/>
        </w:rPr>
        <w:t>en</w:t>
      </w:r>
      <w:proofErr w:type="spellEnd"/>
      <w:r w:rsidRPr="008B1D56">
        <w:rPr>
          <w:sz w:val="24"/>
        </w:rPr>
        <w:t xml:space="preserve"> 2025, con un </w:t>
      </w:r>
      <w:proofErr w:type="spellStart"/>
      <w:r w:rsidRPr="008B1D56">
        <w:rPr>
          <w:sz w:val="24"/>
        </w:rPr>
        <w:t>crecimiento</w:t>
      </w:r>
      <w:proofErr w:type="spellEnd"/>
      <w:r w:rsidRPr="008B1D56">
        <w:rPr>
          <w:sz w:val="24"/>
        </w:rPr>
        <w:t xml:space="preserve"> del 720.8%. Este </w:t>
      </w:r>
      <w:proofErr w:type="spellStart"/>
      <w:r w:rsidRPr="008B1D56">
        <w:rPr>
          <w:sz w:val="24"/>
        </w:rPr>
        <w:t>avance</w:t>
      </w:r>
      <w:proofErr w:type="spellEnd"/>
      <w:r w:rsidRPr="008B1D56">
        <w:rPr>
          <w:sz w:val="24"/>
        </w:rPr>
        <w:t xml:space="preserve"> </w:t>
      </w:r>
      <w:proofErr w:type="spellStart"/>
      <w:r w:rsidRPr="008B1D56">
        <w:rPr>
          <w:sz w:val="24"/>
        </w:rPr>
        <w:t>fue</w:t>
      </w:r>
      <w:proofErr w:type="spellEnd"/>
      <w:r w:rsidRPr="008B1D56">
        <w:rPr>
          <w:sz w:val="24"/>
        </w:rPr>
        <w:t xml:space="preserve"> </w:t>
      </w:r>
      <w:proofErr w:type="spellStart"/>
      <w:r w:rsidRPr="008B1D56">
        <w:rPr>
          <w:sz w:val="24"/>
        </w:rPr>
        <w:t>acompañado</w:t>
      </w:r>
      <w:proofErr w:type="spellEnd"/>
      <w:r w:rsidRPr="008B1D56">
        <w:rPr>
          <w:sz w:val="24"/>
        </w:rPr>
        <w:t xml:space="preserve"> por un </w:t>
      </w:r>
      <w:proofErr w:type="spellStart"/>
      <w:r w:rsidRPr="008B1D56">
        <w:rPr>
          <w:sz w:val="24"/>
        </w:rPr>
        <w:t>cambio</w:t>
      </w:r>
      <w:proofErr w:type="spellEnd"/>
      <w:r w:rsidRPr="008B1D56">
        <w:rPr>
          <w:sz w:val="24"/>
        </w:rPr>
        <w:t xml:space="preserve"> </w:t>
      </w:r>
      <w:proofErr w:type="spellStart"/>
      <w:r w:rsidRPr="008B1D56">
        <w:rPr>
          <w:sz w:val="24"/>
        </w:rPr>
        <w:t>normativo</w:t>
      </w:r>
      <w:proofErr w:type="spellEnd"/>
      <w:r w:rsidRPr="008B1D56">
        <w:rPr>
          <w:sz w:val="24"/>
        </w:rPr>
        <w:t xml:space="preserve"> que </w:t>
      </w:r>
      <w:proofErr w:type="spellStart"/>
      <w:r w:rsidRPr="008B1D56">
        <w:rPr>
          <w:sz w:val="24"/>
        </w:rPr>
        <w:t>establece</w:t>
      </w:r>
      <w:proofErr w:type="spellEnd"/>
      <w:r w:rsidRPr="008B1D56">
        <w:rPr>
          <w:sz w:val="24"/>
        </w:rPr>
        <w:t xml:space="preserve"> que </w:t>
      </w:r>
      <w:proofErr w:type="spellStart"/>
      <w:r w:rsidRPr="008B1D56">
        <w:rPr>
          <w:sz w:val="24"/>
        </w:rPr>
        <w:t>toda</w:t>
      </w:r>
      <w:proofErr w:type="spellEnd"/>
      <w:r w:rsidRPr="008B1D56">
        <w:rPr>
          <w:sz w:val="24"/>
        </w:rPr>
        <w:t xml:space="preserve"> persona </w:t>
      </w:r>
      <w:proofErr w:type="spellStart"/>
      <w:r w:rsidRPr="008B1D56">
        <w:rPr>
          <w:sz w:val="24"/>
        </w:rPr>
        <w:t>en</w:t>
      </w:r>
      <w:proofErr w:type="spellEnd"/>
      <w:r w:rsidRPr="008B1D56">
        <w:rPr>
          <w:sz w:val="24"/>
        </w:rPr>
        <w:t xml:space="preserve"> </w:t>
      </w:r>
      <w:proofErr w:type="spellStart"/>
      <w:r w:rsidRPr="008B1D56">
        <w:rPr>
          <w:sz w:val="24"/>
        </w:rPr>
        <w:t>riesgo</w:t>
      </w:r>
      <w:proofErr w:type="spellEnd"/>
      <w:r w:rsidRPr="008B1D56">
        <w:rPr>
          <w:sz w:val="24"/>
        </w:rPr>
        <w:t xml:space="preserve"> </w:t>
      </w:r>
      <w:proofErr w:type="spellStart"/>
      <w:r w:rsidRPr="008B1D56">
        <w:rPr>
          <w:sz w:val="24"/>
        </w:rPr>
        <w:t>puede</w:t>
      </w:r>
      <w:proofErr w:type="spellEnd"/>
      <w:r w:rsidRPr="008B1D56">
        <w:rPr>
          <w:sz w:val="24"/>
        </w:rPr>
        <w:t xml:space="preserve"> acceder a la </w:t>
      </w:r>
      <w:proofErr w:type="spellStart"/>
      <w:r w:rsidRPr="008B1D56">
        <w:rPr>
          <w:sz w:val="24"/>
        </w:rPr>
        <w:t>PrEP</w:t>
      </w:r>
      <w:proofErr w:type="spellEnd"/>
      <w:r w:rsidRPr="008B1D56">
        <w:rPr>
          <w:sz w:val="24"/>
        </w:rPr>
        <w:t xml:space="preserve"> </w:t>
      </w:r>
      <w:proofErr w:type="spellStart"/>
      <w:r w:rsidRPr="008B1D56">
        <w:rPr>
          <w:sz w:val="24"/>
        </w:rPr>
        <w:t>independientemente</w:t>
      </w:r>
      <w:proofErr w:type="spellEnd"/>
      <w:r w:rsidRPr="008B1D56">
        <w:rPr>
          <w:sz w:val="24"/>
        </w:rPr>
        <w:t xml:space="preserve"> del </w:t>
      </w:r>
      <w:proofErr w:type="spellStart"/>
      <w:r w:rsidRPr="008B1D56">
        <w:rPr>
          <w:sz w:val="24"/>
        </w:rPr>
        <w:t>género</w:t>
      </w:r>
      <w:proofErr w:type="spellEnd"/>
      <w:r w:rsidRPr="008B1D56">
        <w:rPr>
          <w:sz w:val="24"/>
        </w:rPr>
        <w:t xml:space="preserve"> con el que se </w:t>
      </w:r>
      <w:proofErr w:type="spellStart"/>
      <w:r w:rsidRPr="008B1D56">
        <w:rPr>
          <w:sz w:val="24"/>
        </w:rPr>
        <w:t>identifique</w:t>
      </w:r>
      <w:proofErr w:type="spellEnd"/>
      <w:r w:rsidRPr="008B1D56">
        <w:rPr>
          <w:sz w:val="24"/>
        </w:rPr>
        <w:t xml:space="preserve"> o de sus </w:t>
      </w:r>
      <w:proofErr w:type="spellStart"/>
      <w:r w:rsidRPr="008B1D56">
        <w:rPr>
          <w:sz w:val="24"/>
        </w:rPr>
        <w:t>preferencias</w:t>
      </w:r>
      <w:proofErr w:type="spellEnd"/>
      <w:r w:rsidRPr="008B1D56">
        <w:rPr>
          <w:sz w:val="24"/>
        </w:rPr>
        <w:t xml:space="preserve">, </w:t>
      </w:r>
      <w:proofErr w:type="spellStart"/>
      <w:r w:rsidRPr="008B1D56">
        <w:rPr>
          <w:sz w:val="24"/>
        </w:rPr>
        <w:t>eliminando</w:t>
      </w:r>
      <w:proofErr w:type="spellEnd"/>
      <w:r w:rsidRPr="008B1D56">
        <w:rPr>
          <w:sz w:val="24"/>
        </w:rPr>
        <w:t xml:space="preserve"> </w:t>
      </w:r>
      <w:proofErr w:type="spellStart"/>
      <w:r w:rsidRPr="008B1D56">
        <w:rPr>
          <w:sz w:val="24"/>
        </w:rPr>
        <w:t>criterios</w:t>
      </w:r>
      <w:proofErr w:type="spellEnd"/>
      <w:r w:rsidRPr="008B1D56">
        <w:rPr>
          <w:sz w:val="24"/>
        </w:rPr>
        <w:t xml:space="preserve"> </w:t>
      </w:r>
      <w:proofErr w:type="spellStart"/>
      <w:r w:rsidRPr="008B1D56">
        <w:rPr>
          <w:sz w:val="24"/>
        </w:rPr>
        <w:t>restrictivos</w:t>
      </w:r>
      <w:proofErr w:type="spellEnd"/>
      <w:r w:rsidRPr="008B1D56">
        <w:rPr>
          <w:sz w:val="24"/>
        </w:rPr>
        <w:t>.</w:t>
      </w:r>
    </w:p>
    <w:p w:rsidR="008B1D56" w:rsidRPr="008B1D56" w:rsidRDefault="008B1D56" w:rsidP="008B1D56">
      <w:pPr>
        <w:jc w:val="both"/>
        <w:rPr>
          <w:sz w:val="24"/>
          <w:lang w:val="es-ES"/>
        </w:rPr>
      </w:pPr>
      <w:r w:rsidRPr="008B1D56">
        <w:rPr>
          <w:sz w:val="24"/>
          <w:lang w:val="es-ES"/>
        </w:rPr>
        <w:t xml:space="preserve">La implementación de </w:t>
      </w:r>
      <w:proofErr w:type="spellStart"/>
      <w:r w:rsidRPr="008B1D56">
        <w:rPr>
          <w:sz w:val="24"/>
          <w:lang w:val="es-ES"/>
        </w:rPr>
        <w:t>teleconsultas</w:t>
      </w:r>
      <w:proofErr w:type="spellEnd"/>
      <w:r w:rsidRPr="008B1D56">
        <w:rPr>
          <w:sz w:val="24"/>
          <w:lang w:val="es-ES"/>
        </w:rPr>
        <w:t xml:space="preserve"> desde septiembre de 2024, afianzada en 2025 como estrategia 100% virtual con logística eficiente de entrega de medicamentos, permitió la atención médica a distancia de </w:t>
      </w:r>
      <w:r w:rsidR="00397CBB">
        <w:rPr>
          <w:sz w:val="24"/>
          <w:lang w:val="es-ES"/>
        </w:rPr>
        <w:t xml:space="preserve">1242 </w:t>
      </w:r>
      <w:r w:rsidRPr="008B1D56">
        <w:rPr>
          <w:sz w:val="24"/>
          <w:lang w:val="es-ES"/>
        </w:rPr>
        <w:t xml:space="preserve">usuarios entre enero </w:t>
      </w:r>
      <w:r w:rsidR="00397CBB">
        <w:rPr>
          <w:sz w:val="24"/>
          <w:lang w:val="es-ES"/>
        </w:rPr>
        <w:t xml:space="preserve">a diciembre </w:t>
      </w:r>
      <w:r w:rsidRPr="008B1D56">
        <w:rPr>
          <w:sz w:val="24"/>
          <w:lang w:val="es-ES"/>
        </w:rPr>
        <w:t xml:space="preserve">de 2025, reduciendo barreras de acceso. La </w:t>
      </w:r>
      <w:proofErr w:type="spellStart"/>
      <w:r w:rsidRPr="008B1D56">
        <w:rPr>
          <w:sz w:val="24"/>
          <w:lang w:val="es-ES"/>
        </w:rPr>
        <w:t>teleconsulta</w:t>
      </w:r>
      <w:proofErr w:type="spellEnd"/>
      <w:r w:rsidRPr="008B1D56">
        <w:rPr>
          <w:sz w:val="24"/>
          <w:lang w:val="es-ES"/>
        </w:rPr>
        <w:t xml:space="preserve"> complementó el logro de los </w:t>
      </w:r>
      <w:r w:rsidRPr="008B1D56">
        <w:rPr>
          <w:sz w:val="24"/>
          <w:lang w:val="es-ES"/>
        </w:rPr>
        <w:lastRenderedPageBreak/>
        <w:t xml:space="preserve">indicadores nacionales al facilitar el seguimiento de personas que viven con VIH, la provisión de </w:t>
      </w:r>
      <w:proofErr w:type="spellStart"/>
      <w:r w:rsidRPr="008B1D56">
        <w:rPr>
          <w:sz w:val="24"/>
          <w:lang w:val="es-ES"/>
        </w:rPr>
        <w:t>PrEP</w:t>
      </w:r>
      <w:proofErr w:type="spellEnd"/>
      <w:r w:rsidRPr="008B1D56">
        <w:rPr>
          <w:sz w:val="24"/>
          <w:lang w:val="es-ES"/>
        </w:rPr>
        <w:t xml:space="preserve"> y la interconsulta especializada en modalidades sincrónicas y asincrónicas. Esta herramienta contribuyó a optimizar recursos, reducir brechas territoriales y sostener altos niveles de ejecución de las metas establecidas, reforzando una gestión pública orientada a resultados y la sostenibilidad de la política pública en VIH.</w:t>
      </w:r>
    </w:p>
    <w:p w:rsidR="008B1D56" w:rsidRPr="008B1D56" w:rsidRDefault="008B1D56" w:rsidP="008B1D56">
      <w:pPr>
        <w:jc w:val="both"/>
        <w:rPr>
          <w:sz w:val="24"/>
          <w:lang w:val="es-ES"/>
        </w:rPr>
      </w:pPr>
      <w:r w:rsidRPr="008B1D56">
        <w:rPr>
          <w:sz w:val="24"/>
          <w:lang w:val="es-ES"/>
        </w:rPr>
        <w:t xml:space="preserve">Los resultados reflejan el impacto de estas acciones integradas: los nacidos con VIH descendieron de 8 casos en 2024 a 3 casos preliminares en 2025, lo que representa una reducción del 62.5%, y confirma que la priorización de ETMI Plus junto con la expansión de </w:t>
      </w:r>
      <w:proofErr w:type="spellStart"/>
      <w:r w:rsidRPr="008B1D56">
        <w:rPr>
          <w:sz w:val="24"/>
          <w:lang w:val="es-ES"/>
        </w:rPr>
        <w:t>PrEP</w:t>
      </w:r>
      <w:proofErr w:type="spellEnd"/>
      <w:r w:rsidRPr="008B1D56">
        <w:rPr>
          <w:sz w:val="24"/>
          <w:lang w:val="es-ES"/>
        </w:rPr>
        <w:t xml:space="preserve"> y PEP constituyen pilares efectivos para el control de la epidemia.</w:t>
      </w:r>
    </w:p>
    <w:p w:rsidR="0005550A" w:rsidRPr="00780613" w:rsidRDefault="0005550A" w:rsidP="0005550A">
      <w:pPr>
        <w:pStyle w:val="Sinespaciado"/>
        <w:spacing w:line="360" w:lineRule="auto"/>
        <w:jc w:val="both"/>
        <w:rPr>
          <w:sz w:val="24"/>
          <w:lang w:val="es-ES"/>
        </w:rPr>
      </w:pPr>
    </w:p>
    <w:p w:rsidR="006E1D0D" w:rsidRPr="006E1D0D" w:rsidRDefault="006E1D0D" w:rsidP="006E1D0D">
      <w:pPr>
        <w:pStyle w:val="Prrafodelista"/>
        <w:numPr>
          <w:ilvl w:val="0"/>
          <w:numId w:val="20"/>
        </w:numPr>
        <w:ind w:left="426"/>
        <w:jc w:val="both"/>
        <w:rPr>
          <w:b/>
          <w:sz w:val="24"/>
          <w:lang w:val="es-ES"/>
        </w:rPr>
      </w:pPr>
      <w:r w:rsidRPr="006E1D0D">
        <w:rPr>
          <w:b/>
          <w:sz w:val="24"/>
          <w:lang w:val="es-ES"/>
        </w:rPr>
        <w:t>Descentralización progresiva de la atención y del tratamiento del VIH</w:t>
      </w:r>
    </w:p>
    <w:p w:rsidR="006E1D0D" w:rsidRPr="006E1D0D" w:rsidRDefault="006E1D0D" w:rsidP="006E1D0D">
      <w:pPr>
        <w:jc w:val="both"/>
        <w:rPr>
          <w:sz w:val="24"/>
        </w:rPr>
      </w:pPr>
      <w:r w:rsidRPr="006E1D0D">
        <w:rPr>
          <w:sz w:val="24"/>
        </w:rPr>
        <w:t xml:space="preserve">La </w:t>
      </w:r>
      <w:proofErr w:type="spellStart"/>
      <w:r w:rsidRPr="006E1D0D">
        <w:rPr>
          <w:sz w:val="24"/>
        </w:rPr>
        <w:t>descentralización</w:t>
      </w:r>
      <w:proofErr w:type="spellEnd"/>
      <w:r w:rsidRPr="006E1D0D">
        <w:rPr>
          <w:sz w:val="24"/>
        </w:rPr>
        <w:t xml:space="preserve"> de la </w:t>
      </w:r>
      <w:proofErr w:type="spellStart"/>
      <w:r w:rsidRPr="006E1D0D">
        <w:rPr>
          <w:sz w:val="24"/>
        </w:rPr>
        <w:t>atención</w:t>
      </w:r>
      <w:proofErr w:type="spellEnd"/>
      <w:r w:rsidRPr="006E1D0D">
        <w:rPr>
          <w:sz w:val="24"/>
        </w:rPr>
        <w:t xml:space="preserve"> y del </w:t>
      </w:r>
      <w:proofErr w:type="spellStart"/>
      <w:r w:rsidRPr="006E1D0D">
        <w:rPr>
          <w:sz w:val="24"/>
        </w:rPr>
        <w:t>tratamiento</w:t>
      </w:r>
      <w:proofErr w:type="spellEnd"/>
      <w:r w:rsidRPr="006E1D0D">
        <w:rPr>
          <w:sz w:val="24"/>
        </w:rPr>
        <w:t xml:space="preserve"> del VIH se </w:t>
      </w:r>
      <w:proofErr w:type="spellStart"/>
      <w:r w:rsidRPr="006E1D0D">
        <w:rPr>
          <w:sz w:val="24"/>
        </w:rPr>
        <w:t>expresa</w:t>
      </w:r>
      <w:proofErr w:type="spellEnd"/>
      <w:r w:rsidRPr="006E1D0D">
        <w:rPr>
          <w:sz w:val="24"/>
        </w:rPr>
        <w:t xml:space="preserve"> de </w:t>
      </w:r>
      <w:proofErr w:type="spellStart"/>
      <w:r w:rsidRPr="006E1D0D">
        <w:rPr>
          <w:sz w:val="24"/>
        </w:rPr>
        <w:t>manera</w:t>
      </w:r>
      <w:proofErr w:type="spellEnd"/>
      <w:r w:rsidRPr="006E1D0D">
        <w:rPr>
          <w:sz w:val="24"/>
        </w:rPr>
        <w:t xml:space="preserve"> transversal </w:t>
      </w:r>
      <w:proofErr w:type="spellStart"/>
      <w:r w:rsidRPr="006E1D0D">
        <w:rPr>
          <w:sz w:val="24"/>
        </w:rPr>
        <w:t>en</w:t>
      </w:r>
      <w:proofErr w:type="spellEnd"/>
      <w:r w:rsidRPr="006E1D0D">
        <w:rPr>
          <w:sz w:val="24"/>
        </w:rPr>
        <w:t xml:space="preserve"> los </w:t>
      </w:r>
      <w:proofErr w:type="spellStart"/>
      <w:r w:rsidRPr="006E1D0D">
        <w:rPr>
          <w:sz w:val="24"/>
        </w:rPr>
        <w:t>indicadores</w:t>
      </w:r>
      <w:proofErr w:type="spellEnd"/>
      <w:r w:rsidRPr="006E1D0D">
        <w:rPr>
          <w:sz w:val="24"/>
        </w:rPr>
        <w:t xml:space="preserve"> de </w:t>
      </w:r>
      <w:proofErr w:type="spellStart"/>
      <w:r w:rsidRPr="006E1D0D">
        <w:rPr>
          <w:sz w:val="24"/>
        </w:rPr>
        <w:t>realización</w:t>
      </w:r>
      <w:proofErr w:type="spellEnd"/>
      <w:r w:rsidRPr="006E1D0D">
        <w:rPr>
          <w:sz w:val="24"/>
        </w:rPr>
        <w:t xml:space="preserve"> de </w:t>
      </w:r>
      <w:proofErr w:type="spellStart"/>
      <w:r w:rsidRPr="006E1D0D">
        <w:rPr>
          <w:sz w:val="24"/>
        </w:rPr>
        <w:t>pruebas</w:t>
      </w:r>
      <w:proofErr w:type="spellEnd"/>
      <w:r w:rsidRPr="006E1D0D">
        <w:rPr>
          <w:sz w:val="24"/>
        </w:rPr>
        <w:t xml:space="preserve">, </w:t>
      </w:r>
      <w:proofErr w:type="spellStart"/>
      <w:r w:rsidRPr="006E1D0D">
        <w:rPr>
          <w:sz w:val="24"/>
        </w:rPr>
        <w:t>provisión</w:t>
      </w:r>
      <w:proofErr w:type="spellEnd"/>
      <w:r w:rsidRPr="006E1D0D">
        <w:rPr>
          <w:sz w:val="24"/>
        </w:rPr>
        <w:t xml:space="preserve"> de </w:t>
      </w:r>
      <w:proofErr w:type="spellStart"/>
      <w:r w:rsidRPr="006E1D0D">
        <w:rPr>
          <w:sz w:val="24"/>
        </w:rPr>
        <w:t>PrEP</w:t>
      </w:r>
      <w:proofErr w:type="spellEnd"/>
      <w:r w:rsidRPr="006E1D0D">
        <w:rPr>
          <w:sz w:val="24"/>
        </w:rPr>
        <w:t xml:space="preserve"> y </w:t>
      </w:r>
      <w:proofErr w:type="spellStart"/>
      <w:r w:rsidRPr="006E1D0D">
        <w:rPr>
          <w:sz w:val="24"/>
        </w:rPr>
        <w:t>registro</w:t>
      </w:r>
      <w:proofErr w:type="spellEnd"/>
      <w:r w:rsidRPr="006E1D0D">
        <w:rPr>
          <w:sz w:val="24"/>
        </w:rPr>
        <w:t xml:space="preserve"> de personas con VIH, al </w:t>
      </w:r>
      <w:proofErr w:type="spellStart"/>
      <w:r w:rsidRPr="006E1D0D">
        <w:rPr>
          <w:sz w:val="24"/>
        </w:rPr>
        <w:t>ampliarse</w:t>
      </w:r>
      <w:proofErr w:type="spellEnd"/>
      <w:r w:rsidRPr="006E1D0D">
        <w:rPr>
          <w:sz w:val="24"/>
        </w:rPr>
        <w:t xml:space="preserve"> la </w:t>
      </w:r>
      <w:proofErr w:type="spellStart"/>
      <w:r w:rsidRPr="006E1D0D">
        <w:rPr>
          <w:sz w:val="24"/>
        </w:rPr>
        <w:t>capacidad</w:t>
      </w:r>
      <w:proofErr w:type="spellEnd"/>
      <w:r w:rsidRPr="006E1D0D">
        <w:rPr>
          <w:sz w:val="24"/>
        </w:rPr>
        <w:t xml:space="preserve"> </w:t>
      </w:r>
      <w:proofErr w:type="spellStart"/>
      <w:r w:rsidRPr="006E1D0D">
        <w:rPr>
          <w:sz w:val="24"/>
        </w:rPr>
        <w:t>resolutiva</w:t>
      </w:r>
      <w:proofErr w:type="spellEnd"/>
      <w:r w:rsidRPr="006E1D0D">
        <w:rPr>
          <w:sz w:val="24"/>
        </w:rPr>
        <w:t xml:space="preserve"> del </w:t>
      </w:r>
      <w:proofErr w:type="spellStart"/>
      <w:r w:rsidRPr="006E1D0D">
        <w:rPr>
          <w:sz w:val="24"/>
        </w:rPr>
        <w:t>sistema</w:t>
      </w:r>
      <w:proofErr w:type="spellEnd"/>
      <w:r w:rsidRPr="006E1D0D">
        <w:rPr>
          <w:sz w:val="24"/>
        </w:rPr>
        <w:t xml:space="preserve"> </w:t>
      </w:r>
      <w:proofErr w:type="spellStart"/>
      <w:r w:rsidRPr="006E1D0D">
        <w:rPr>
          <w:sz w:val="24"/>
        </w:rPr>
        <w:t>en</w:t>
      </w:r>
      <w:proofErr w:type="spellEnd"/>
      <w:r w:rsidRPr="006E1D0D">
        <w:rPr>
          <w:sz w:val="24"/>
        </w:rPr>
        <w:t xml:space="preserve"> el primer, </w:t>
      </w:r>
      <w:proofErr w:type="spellStart"/>
      <w:r w:rsidRPr="006E1D0D">
        <w:rPr>
          <w:sz w:val="24"/>
        </w:rPr>
        <w:t>segundo</w:t>
      </w:r>
      <w:proofErr w:type="spellEnd"/>
      <w:r w:rsidRPr="006E1D0D">
        <w:rPr>
          <w:sz w:val="24"/>
        </w:rPr>
        <w:t xml:space="preserve"> y </w:t>
      </w:r>
      <w:proofErr w:type="spellStart"/>
      <w:r w:rsidRPr="006E1D0D">
        <w:rPr>
          <w:sz w:val="24"/>
        </w:rPr>
        <w:t>tercer</w:t>
      </w:r>
      <w:proofErr w:type="spellEnd"/>
      <w:r w:rsidRPr="006E1D0D">
        <w:rPr>
          <w:sz w:val="24"/>
        </w:rPr>
        <w:t xml:space="preserve"> </w:t>
      </w:r>
      <w:proofErr w:type="spellStart"/>
      <w:r w:rsidRPr="006E1D0D">
        <w:rPr>
          <w:sz w:val="24"/>
        </w:rPr>
        <w:t>nivel</w:t>
      </w:r>
      <w:proofErr w:type="spellEnd"/>
      <w:r w:rsidRPr="006E1D0D">
        <w:rPr>
          <w:sz w:val="24"/>
        </w:rPr>
        <w:t xml:space="preserve">. La </w:t>
      </w:r>
      <w:proofErr w:type="spellStart"/>
      <w:r w:rsidRPr="006E1D0D">
        <w:rPr>
          <w:sz w:val="24"/>
        </w:rPr>
        <w:t>distribución</w:t>
      </w:r>
      <w:proofErr w:type="spellEnd"/>
      <w:r w:rsidRPr="006E1D0D">
        <w:rPr>
          <w:sz w:val="24"/>
        </w:rPr>
        <w:t xml:space="preserve"> </w:t>
      </w:r>
      <w:proofErr w:type="spellStart"/>
      <w:r w:rsidRPr="006E1D0D">
        <w:rPr>
          <w:sz w:val="24"/>
        </w:rPr>
        <w:t>descentralizada</w:t>
      </w:r>
      <w:proofErr w:type="spellEnd"/>
      <w:r w:rsidRPr="006E1D0D">
        <w:rPr>
          <w:sz w:val="24"/>
        </w:rPr>
        <w:t xml:space="preserve"> de </w:t>
      </w:r>
      <w:proofErr w:type="spellStart"/>
      <w:r w:rsidRPr="006E1D0D">
        <w:rPr>
          <w:sz w:val="24"/>
        </w:rPr>
        <w:t>reactivos</w:t>
      </w:r>
      <w:proofErr w:type="spellEnd"/>
      <w:r w:rsidRPr="006E1D0D">
        <w:rPr>
          <w:sz w:val="24"/>
        </w:rPr>
        <w:t xml:space="preserve"> para </w:t>
      </w:r>
      <w:proofErr w:type="spellStart"/>
      <w:r w:rsidRPr="006E1D0D">
        <w:rPr>
          <w:sz w:val="24"/>
        </w:rPr>
        <w:t>pruebas</w:t>
      </w:r>
      <w:proofErr w:type="spellEnd"/>
      <w:r w:rsidRPr="006E1D0D">
        <w:rPr>
          <w:sz w:val="24"/>
        </w:rPr>
        <w:t xml:space="preserve"> </w:t>
      </w:r>
      <w:proofErr w:type="spellStart"/>
      <w:r w:rsidRPr="006E1D0D">
        <w:rPr>
          <w:sz w:val="24"/>
        </w:rPr>
        <w:t>rápidas</w:t>
      </w:r>
      <w:proofErr w:type="spellEnd"/>
      <w:r w:rsidRPr="006E1D0D">
        <w:rPr>
          <w:sz w:val="24"/>
        </w:rPr>
        <w:t xml:space="preserve"> </w:t>
      </w:r>
      <w:proofErr w:type="spellStart"/>
      <w:r w:rsidRPr="006E1D0D">
        <w:rPr>
          <w:sz w:val="24"/>
        </w:rPr>
        <w:t>permitió</w:t>
      </w:r>
      <w:proofErr w:type="spellEnd"/>
      <w:r w:rsidRPr="006E1D0D">
        <w:rPr>
          <w:sz w:val="24"/>
        </w:rPr>
        <w:t xml:space="preserve"> </w:t>
      </w:r>
      <w:proofErr w:type="spellStart"/>
      <w:r w:rsidRPr="006E1D0D">
        <w:rPr>
          <w:sz w:val="24"/>
        </w:rPr>
        <w:t>integrar</w:t>
      </w:r>
      <w:proofErr w:type="spellEnd"/>
      <w:r w:rsidRPr="006E1D0D">
        <w:rPr>
          <w:sz w:val="24"/>
        </w:rPr>
        <w:t xml:space="preserve"> a </w:t>
      </w:r>
      <w:proofErr w:type="spellStart"/>
      <w:r w:rsidRPr="006E1D0D">
        <w:rPr>
          <w:sz w:val="24"/>
        </w:rPr>
        <w:t>más</w:t>
      </w:r>
      <w:proofErr w:type="spellEnd"/>
      <w:r w:rsidRPr="006E1D0D">
        <w:rPr>
          <w:sz w:val="24"/>
        </w:rPr>
        <w:t xml:space="preserve"> de 1.200 </w:t>
      </w:r>
      <w:proofErr w:type="spellStart"/>
      <w:r w:rsidRPr="006E1D0D">
        <w:rPr>
          <w:sz w:val="24"/>
        </w:rPr>
        <w:t>centros</w:t>
      </w:r>
      <w:proofErr w:type="spellEnd"/>
      <w:r w:rsidRPr="006E1D0D">
        <w:rPr>
          <w:sz w:val="24"/>
        </w:rPr>
        <w:t xml:space="preserve"> </w:t>
      </w:r>
      <w:proofErr w:type="spellStart"/>
      <w:r w:rsidRPr="006E1D0D">
        <w:rPr>
          <w:sz w:val="24"/>
        </w:rPr>
        <w:t>notificadores</w:t>
      </w:r>
      <w:proofErr w:type="spellEnd"/>
      <w:r w:rsidRPr="006E1D0D">
        <w:rPr>
          <w:sz w:val="24"/>
        </w:rPr>
        <w:t xml:space="preserve">, </w:t>
      </w:r>
      <w:proofErr w:type="spellStart"/>
      <w:r w:rsidRPr="006E1D0D">
        <w:rPr>
          <w:sz w:val="24"/>
        </w:rPr>
        <w:t>superando</w:t>
      </w:r>
      <w:proofErr w:type="spellEnd"/>
      <w:r w:rsidRPr="006E1D0D">
        <w:rPr>
          <w:sz w:val="24"/>
        </w:rPr>
        <w:t xml:space="preserve"> el </w:t>
      </w:r>
      <w:proofErr w:type="spellStart"/>
      <w:r w:rsidRPr="006E1D0D">
        <w:rPr>
          <w:sz w:val="24"/>
        </w:rPr>
        <w:t>esquema</w:t>
      </w:r>
      <w:proofErr w:type="spellEnd"/>
      <w:r w:rsidRPr="006E1D0D">
        <w:rPr>
          <w:sz w:val="24"/>
        </w:rPr>
        <w:t xml:space="preserve"> </w:t>
      </w:r>
      <w:proofErr w:type="spellStart"/>
      <w:r w:rsidRPr="006E1D0D">
        <w:rPr>
          <w:sz w:val="24"/>
        </w:rPr>
        <w:t>previo</w:t>
      </w:r>
      <w:proofErr w:type="spellEnd"/>
      <w:r w:rsidRPr="006E1D0D">
        <w:rPr>
          <w:sz w:val="24"/>
        </w:rPr>
        <w:t xml:space="preserve"> de </w:t>
      </w:r>
      <w:proofErr w:type="spellStart"/>
      <w:r w:rsidRPr="006E1D0D">
        <w:rPr>
          <w:sz w:val="24"/>
        </w:rPr>
        <w:t>concentración</w:t>
      </w:r>
      <w:proofErr w:type="spellEnd"/>
      <w:r w:rsidRPr="006E1D0D">
        <w:rPr>
          <w:sz w:val="24"/>
        </w:rPr>
        <w:t xml:space="preserve">. Del </w:t>
      </w:r>
      <w:proofErr w:type="spellStart"/>
      <w:r w:rsidRPr="006E1D0D">
        <w:rPr>
          <w:sz w:val="24"/>
        </w:rPr>
        <w:t>mismo</w:t>
      </w:r>
      <w:proofErr w:type="spellEnd"/>
      <w:r w:rsidRPr="006E1D0D">
        <w:rPr>
          <w:sz w:val="24"/>
        </w:rPr>
        <w:t xml:space="preserve"> modo, la </w:t>
      </w:r>
      <w:proofErr w:type="spellStart"/>
      <w:r w:rsidRPr="006E1D0D">
        <w:rPr>
          <w:sz w:val="24"/>
        </w:rPr>
        <w:t>provisión</w:t>
      </w:r>
      <w:proofErr w:type="spellEnd"/>
      <w:r w:rsidRPr="006E1D0D">
        <w:rPr>
          <w:sz w:val="24"/>
        </w:rPr>
        <w:t xml:space="preserve"> territorial de </w:t>
      </w:r>
      <w:proofErr w:type="spellStart"/>
      <w:r w:rsidRPr="006E1D0D">
        <w:rPr>
          <w:sz w:val="24"/>
        </w:rPr>
        <w:t>medicamentos</w:t>
      </w:r>
      <w:proofErr w:type="spellEnd"/>
      <w:r w:rsidRPr="006E1D0D">
        <w:rPr>
          <w:sz w:val="24"/>
        </w:rPr>
        <w:t xml:space="preserve"> </w:t>
      </w:r>
      <w:proofErr w:type="spellStart"/>
      <w:r w:rsidRPr="006E1D0D">
        <w:rPr>
          <w:sz w:val="24"/>
        </w:rPr>
        <w:t>antirretrovirales</w:t>
      </w:r>
      <w:proofErr w:type="spellEnd"/>
      <w:r w:rsidRPr="006E1D0D">
        <w:rPr>
          <w:sz w:val="24"/>
        </w:rPr>
        <w:t xml:space="preserve"> </w:t>
      </w:r>
      <w:proofErr w:type="spellStart"/>
      <w:r w:rsidRPr="006E1D0D">
        <w:rPr>
          <w:sz w:val="24"/>
        </w:rPr>
        <w:t>dejó</w:t>
      </w:r>
      <w:proofErr w:type="spellEnd"/>
      <w:r w:rsidRPr="006E1D0D">
        <w:rPr>
          <w:sz w:val="24"/>
        </w:rPr>
        <w:t xml:space="preserve"> </w:t>
      </w:r>
      <w:proofErr w:type="spellStart"/>
      <w:r w:rsidRPr="006E1D0D">
        <w:rPr>
          <w:sz w:val="24"/>
        </w:rPr>
        <w:t>atrás</w:t>
      </w:r>
      <w:proofErr w:type="spellEnd"/>
      <w:r w:rsidRPr="006E1D0D">
        <w:rPr>
          <w:sz w:val="24"/>
        </w:rPr>
        <w:t xml:space="preserve"> el </w:t>
      </w:r>
      <w:proofErr w:type="spellStart"/>
      <w:r w:rsidRPr="006E1D0D">
        <w:rPr>
          <w:sz w:val="24"/>
        </w:rPr>
        <w:t>modelo</w:t>
      </w:r>
      <w:proofErr w:type="spellEnd"/>
      <w:r w:rsidRPr="006E1D0D">
        <w:rPr>
          <w:sz w:val="24"/>
        </w:rPr>
        <w:t xml:space="preserve"> </w:t>
      </w:r>
      <w:proofErr w:type="spellStart"/>
      <w:r w:rsidRPr="006E1D0D">
        <w:rPr>
          <w:sz w:val="24"/>
        </w:rPr>
        <w:t>limitado</w:t>
      </w:r>
      <w:proofErr w:type="spellEnd"/>
      <w:r w:rsidRPr="006E1D0D">
        <w:rPr>
          <w:sz w:val="24"/>
        </w:rPr>
        <w:t xml:space="preserve"> a 18 </w:t>
      </w:r>
      <w:proofErr w:type="spellStart"/>
      <w:r w:rsidRPr="006E1D0D">
        <w:rPr>
          <w:sz w:val="24"/>
        </w:rPr>
        <w:t>centros</w:t>
      </w:r>
      <w:proofErr w:type="spellEnd"/>
      <w:r w:rsidRPr="006E1D0D">
        <w:rPr>
          <w:sz w:val="24"/>
        </w:rPr>
        <w:t xml:space="preserve"> de cabecera, y </w:t>
      </w:r>
      <w:proofErr w:type="spellStart"/>
      <w:r w:rsidRPr="006E1D0D">
        <w:rPr>
          <w:sz w:val="24"/>
        </w:rPr>
        <w:t>fortaleció</w:t>
      </w:r>
      <w:proofErr w:type="spellEnd"/>
      <w:r w:rsidRPr="006E1D0D">
        <w:rPr>
          <w:sz w:val="24"/>
        </w:rPr>
        <w:t xml:space="preserve"> el </w:t>
      </w:r>
      <w:proofErr w:type="spellStart"/>
      <w:r w:rsidRPr="006E1D0D">
        <w:rPr>
          <w:sz w:val="24"/>
        </w:rPr>
        <w:t>inicio</w:t>
      </w:r>
      <w:proofErr w:type="spellEnd"/>
      <w:r w:rsidRPr="006E1D0D">
        <w:rPr>
          <w:sz w:val="24"/>
        </w:rPr>
        <w:t xml:space="preserve"> </w:t>
      </w:r>
      <w:proofErr w:type="spellStart"/>
      <w:r w:rsidRPr="006E1D0D">
        <w:rPr>
          <w:sz w:val="24"/>
        </w:rPr>
        <w:t>oportuno</w:t>
      </w:r>
      <w:proofErr w:type="spellEnd"/>
      <w:r w:rsidRPr="006E1D0D">
        <w:rPr>
          <w:sz w:val="24"/>
        </w:rPr>
        <w:t xml:space="preserve"> del </w:t>
      </w:r>
      <w:proofErr w:type="spellStart"/>
      <w:r w:rsidRPr="006E1D0D">
        <w:rPr>
          <w:sz w:val="24"/>
        </w:rPr>
        <w:t>tratamiento</w:t>
      </w:r>
      <w:proofErr w:type="spellEnd"/>
      <w:r w:rsidRPr="006E1D0D">
        <w:rPr>
          <w:sz w:val="24"/>
        </w:rPr>
        <w:t xml:space="preserve">, el </w:t>
      </w:r>
      <w:proofErr w:type="spellStart"/>
      <w:r w:rsidRPr="006E1D0D">
        <w:rPr>
          <w:sz w:val="24"/>
        </w:rPr>
        <w:t>seguimiento</w:t>
      </w:r>
      <w:proofErr w:type="spellEnd"/>
      <w:r w:rsidRPr="006E1D0D">
        <w:rPr>
          <w:sz w:val="24"/>
        </w:rPr>
        <w:t xml:space="preserve"> </w:t>
      </w:r>
      <w:proofErr w:type="spellStart"/>
      <w:r w:rsidRPr="006E1D0D">
        <w:rPr>
          <w:sz w:val="24"/>
        </w:rPr>
        <w:t>clínico</w:t>
      </w:r>
      <w:proofErr w:type="spellEnd"/>
      <w:r w:rsidRPr="006E1D0D">
        <w:rPr>
          <w:sz w:val="24"/>
        </w:rPr>
        <w:t xml:space="preserve"> y la </w:t>
      </w:r>
      <w:proofErr w:type="spellStart"/>
      <w:r w:rsidRPr="006E1D0D">
        <w:rPr>
          <w:sz w:val="24"/>
        </w:rPr>
        <w:t>continuidad</w:t>
      </w:r>
      <w:proofErr w:type="spellEnd"/>
      <w:r w:rsidRPr="006E1D0D">
        <w:rPr>
          <w:sz w:val="24"/>
        </w:rPr>
        <w:t xml:space="preserve"> </w:t>
      </w:r>
      <w:proofErr w:type="spellStart"/>
      <w:r w:rsidRPr="006E1D0D">
        <w:rPr>
          <w:sz w:val="24"/>
        </w:rPr>
        <w:t>asistencial</w:t>
      </w:r>
      <w:proofErr w:type="spellEnd"/>
      <w:r w:rsidRPr="006E1D0D">
        <w:rPr>
          <w:sz w:val="24"/>
        </w:rPr>
        <w:t>.</w:t>
      </w:r>
    </w:p>
    <w:p w:rsidR="006E1D0D" w:rsidRDefault="006E1D0D" w:rsidP="006E1D0D">
      <w:pPr>
        <w:jc w:val="both"/>
        <w:rPr>
          <w:sz w:val="24"/>
        </w:rPr>
      </w:pPr>
      <w:r w:rsidRPr="006E1D0D">
        <w:rPr>
          <w:sz w:val="24"/>
        </w:rPr>
        <w:t xml:space="preserve">Los </w:t>
      </w:r>
      <w:proofErr w:type="spellStart"/>
      <w:r w:rsidRPr="006E1D0D">
        <w:rPr>
          <w:sz w:val="24"/>
        </w:rPr>
        <w:t>establecimientos</w:t>
      </w:r>
      <w:proofErr w:type="spellEnd"/>
      <w:r w:rsidRPr="006E1D0D">
        <w:rPr>
          <w:sz w:val="24"/>
        </w:rPr>
        <w:t xml:space="preserve"> con </w:t>
      </w:r>
      <w:proofErr w:type="spellStart"/>
      <w:r w:rsidRPr="006E1D0D">
        <w:rPr>
          <w:sz w:val="24"/>
        </w:rPr>
        <w:t>disponibilidad</w:t>
      </w:r>
      <w:proofErr w:type="spellEnd"/>
      <w:r w:rsidRPr="006E1D0D">
        <w:rPr>
          <w:sz w:val="24"/>
        </w:rPr>
        <w:t xml:space="preserve"> </w:t>
      </w:r>
      <w:proofErr w:type="spellStart"/>
      <w:r w:rsidRPr="006E1D0D">
        <w:rPr>
          <w:sz w:val="24"/>
        </w:rPr>
        <w:t>efectiva</w:t>
      </w:r>
      <w:proofErr w:type="spellEnd"/>
      <w:r w:rsidRPr="006E1D0D">
        <w:rPr>
          <w:sz w:val="24"/>
        </w:rPr>
        <w:t xml:space="preserve"> de ARV </w:t>
      </w:r>
      <w:proofErr w:type="spellStart"/>
      <w:r w:rsidRPr="006E1D0D">
        <w:rPr>
          <w:sz w:val="24"/>
        </w:rPr>
        <w:t>pasaron</w:t>
      </w:r>
      <w:proofErr w:type="spellEnd"/>
      <w:r w:rsidRPr="006E1D0D">
        <w:rPr>
          <w:sz w:val="24"/>
        </w:rPr>
        <w:t xml:space="preserve"> de 20 </w:t>
      </w:r>
      <w:proofErr w:type="spellStart"/>
      <w:r w:rsidRPr="006E1D0D">
        <w:rPr>
          <w:sz w:val="24"/>
        </w:rPr>
        <w:t>centros</w:t>
      </w:r>
      <w:proofErr w:type="spellEnd"/>
      <w:r w:rsidRPr="006E1D0D">
        <w:rPr>
          <w:sz w:val="24"/>
        </w:rPr>
        <w:t xml:space="preserve"> de </w:t>
      </w:r>
      <w:proofErr w:type="spellStart"/>
      <w:r w:rsidRPr="006E1D0D">
        <w:rPr>
          <w:sz w:val="24"/>
        </w:rPr>
        <w:t>tercer</w:t>
      </w:r>
      <w:proofErr w:type="spellEnd"/>
      <w:r w:rsidRPr="006E1D0D">
        <w:rPr>
          <w:sz w:val="24"/>
        </w:rPr>
        <w:t xml:space="preserve"> </w:t>
      </w:r>
      <w:proofErr w:type="spellStart"/>
      <w:r w:rsidRPr="006E1D0D">
        <w:rPr>
          <w:sz w:val="24"/>
        </w:rPr>
        <w:t>nivel</w:t>
      </w:r>
      <w:proofErr w:type="spellEnd"/>
      <w:r w:rsidRPr="006E1D0D">
        <w:rPr>
          <w:sz w:val="24"/>
        </w:rPr>
        <w:t xml:space="preserve"> </w:t>
      </w:r>
      <w:proofErr w:type="spellStart"/>
      <w:r w:rsidRPr="006E1D0D">
        <w:rPr>
          <w:sz w:val="24"/>
        </w:rPr>
        <w:t>en</w:t>
      </w:r>
      <w:proofErr w:type="spellEnd"/>
      <w:r w:rsidRPr="006E1D0D">
        <w:rPr>
          <w:sz w:val="24"/>
        </w:rPr>
        <w:t xml:space="preserve"> 2024 a 224 </w:t>
      </w:r>
      <w:proofErr w:type="spellStart"/>
      <w:r w:rsidRPr="006E1D0D">
        <w:rPr>
          <w:sz w:val="24"/>
        </w:rPr>
        <w:t>centros</w:t>
      </w:r>
      <w:proofErr w:type="spellEnd"/>
      <w:r w:rsidRPr="006E1D0D">
        <w:rPr>
          <w:sz w:val="24"/>
        </w:rPr>
        <w:t xml:space="preserve"> </w:t>
      </w:r>
      <w:proofErr w:type="spellStart"/>
      <w:r w:rsidRPr="006E1D0D">
        <w:rPr>
          <w:sz w:val="24"/>
        </w:rPr>
        <w:t>en</w:t>
      </w:r>
      <w:proofErr w:type="spellEnd"/>
      <w:r w:rsidRPr="006E1D0D">
        <w:rPr>
          <w:sz w:val="24"/>
        </w:rPr>
        <w:t xml:space="preserve"> 2025, </w:t>
      </w:r>
      <w:proofErr w:type="spellStart"/>
      <w:r w:rsidRPr="006E1D0D">
        <w:rPr>
          <w:sz w:val="24"/>
        </w:rPr>
        <w:t>conformados</w:t>
      </w:r>
      <w:proofErr w:type="spellEnd"/>
      <w:r w:rsidRPr="006E1D0D">
        <w:rPr>
          <w:sz w:val="24"/>
        </w:rPr>
        <w:t xml:space="preserve"> por 16 </w:t>
      </w:r>
      <w:proofErr w:type="spellStart"/>
      <w:r w:rsidRPr="006E1D0D">
        <w:rPr>
          <w:sz w:val="24"/>
        </w:rPr>
        <w:t>hospitales</w:t>
      </w:r>
      <w:proofErr w:type="spellEnd"/>
      <w:r w:rsidRPr="006E1D0D">
        <w:rPr>
          <w:sz w:val="24"/>
        </w:rPr>
        <w:t xml:space="preserve"> </w:t>
      </w:r>
      <w:proofErr w:type="spellStart"/>
      <w:r w:rsidRPr="006E1D0D">
        <w:rPr>
          <w:sz w:val="24"/>
        </w:rPr>
        <w:t>regionales</w:t>
      </w:r>
      <w:proofErr w:type="spellEnd"/>
      <w:r w:rsidRPr="006E1D0D">
        <w:rPr>
          <w:sz w:val="24"/>
        </w:rPr>
        <w:t xml:space="preserve">, 12 </w:t>
      </w:r>
      <w:proofErr w:type="spellStart"/>
      <w:r w:rsidRPr="006E1D0D">
        <w:rPr>
          <w:sz w:val="24"/>
        </w:rPr>
        <w:t>especializados</w:t>
      </w:r>
      <w:proofErr w:type="spellEnd"/>
      <w:r w:rsidRPr="006E1D0D">
        <w:rPr>
          <w:sz w:val="24"/>
        </w:rPr>
        <w:t xml:space="preserve">, 40 </w:t>
      </w:r>
      <w:proofErr w:type="spellStart"/>
      <w:r w:rsidRPr="006E1D0D">
        <w:rPr>
          <w:sz w:val="24"/>
        </w:rPr>
        <w:t>distritales</w:t>
      </w:r>
      <w:proofErr w:type="spellEnd"/>
      <w:r w:rsidRPr="006E1D0D">
        <w:rPr>
          <w:sz w:val="24"/>
        </w:rPr>
        <w:t xml:space="preserve"> y 156 </w:t>
      </w:r>
      <w:proofErr w:type="spellStart"/>
      <w:r w:rsidRPr="006E1D0D">
        <w:rPr>
          <w:sz w:val="24"/>
        </w:rPr>
        <w:t>unidades</w:t>
      </w:r>
      <w:proofErr w:type="spellEnd"/>
      <w:r w:rsidRPr="006E1D0D">
        <w:rPr>
          <w:sz w:val="24"/>
        </w:rPr>
        <w:t xml:space="preserve"> de </w:t>
      </w:r>
      <w:proofErr w:type="spellStart"/>
      <w:r w:rsidRPr="006E1D0D">
        <w:rPr>
          <w:sz w:val="24"/>
        </w:rPr>
        <w:t>salud</w:t>
      </w:r>
      <w:proofErr w:type="spellEnd"/>
      <w:r w:rsidRPr="006E1D0D">
        <w:rPr>
          <w:sz w:val="24"/>
        </w:rPr>
        <w:t xml:space="preserve"> de la </w:t>
      </w:r>
      <w:proofErr w:type="spellStart"/>
      <w:r w:rsidRPr="006E1D0D">
        <w:rPr>
          <w:sz w:val="24"/>
        </w:rPr>
        <w:t>familia</w:t>
      </w:r>
      <w:proofErr w:type="spellEnd"/>
      <w:r w:rsidRPr="006E1D0D">
        <w:rPr>
          <w:sz w:val="24"/>
        </w:rPr>
        <w:t xml:space="preserve">. Este </w:t>
      </w:r>
      <w:proofErr w:type="spellStart"/>
      <w:r w:rsidRPr="006E1D0D">
        <w:rPr>
          <w:sz w:val="24"/>
        </w:rPr>
        <w:t>indicador</w:t>
      </w:r>
      <w:proofErr w:type="spellEnd"/>
      <w:r w:rsidRPr="006E1D0D">
        <w:rPr>
          <w:sz w:val="24"/>
        </w:rPr>
        <w:t xml:space="preserve"> </w:t>
      </w:r>
      <w:proofErr w:type="spellStart"/>
      <w:r w:rsidRPr="006E1D0D">
        <w:rPr>
          <w:sz w:val="24"/>
        </w:rPr>
        <w:t>mide</w:t>
      </w:r>
      <w:proofErr w:type="spellEnd"/>
      <w:r w:rsidRPr="006E1D0D">
        <w:rPr>
          <w:sz w:val="24"/>
        </w:rPr>
        <w:t xml:space="preserve"> la </w:t>
      </w:r>
      <w:proofErr w:type="spellStart"/>
      <w:r w:rsidRPr="006E1D0D">
        <w:rPr>
          <w:sz w:val="24"/>
        </w:rPr>
        <w:t>capacidad</w:t>
      </w:r>
      <w:proofErr w:type="spellEnd"/>
      <w:r w:rsidRPr="006E1D0D">
        <w:rPr>
          <w:sz w:val="24"/>
        </w:rPr>
        <w:t xml:space="preserve"> de </w:t>
      </w:r>
      <w:proofErr w:type="spellStart"/>
      <w:r w:rsidRPr="006E1D0D">
        <w:rPr>
          <w:sz w:val="24"/>
        </w:rPr>
        <w:t>proceso</w:t>
      </w:r>
      <w:proofErr w:type="spellEnd"/>
      <w:r w:rsidRPr="006E1D0D">
        <w:rPr>
          <w:sz w:val="24"/>
        </w:rPr>
        <w:t xml:space="preserve"> del </w:t>
      </w:r>
      <w:proofErr w:type="spellStart"/>
      <w:r w:rsidRPr="006E1D0D">
        <w:rPr>
          <w:sz w:val="24"/>
        </w:rPr>
        <w:t>sistema</w:t>
      </w:r>
      <w:proofErr w:type="spellEnd"/>
      <w:r w:rsidRPr="006E1D0D">
        <w:rPr>
          <w:sz w:val="24"/>
        </w:rPr>
        <w:t xml:space="preserve"> para </w:t>
      </w:r>
      <w:proofErr w:type="spellStart"/>
      <w:r w:rsidRPr="006E1D0D">
        <w:rPr>
          <w:sz w:val="24"/>
        </w:rPr>
        <w:t>acercar</w:t>
      </w:r>
      <w:proofErr w:type="spellEnd"/>
      <w:r w:rsidRPr="006E1D0D">
        <w:rPr>
          <w:sz w:val="24"/>
        </w:rPr>
        <w:t xml:space="preserve"> el </w:t>
      </w:r>
      <w:proofErr w:type="spellStart"/>
      <w:r w:rsidRPr="006E1D0D">
        <w:rPr>
          <w:sz w:val="24"/>
        </w:rPr>
        <w:t>tratamiento</w:t>
      </w:r>
      <w:proofErr w:type="spellEnd"/>
      <w:r w:rsidRPr="006E1D0D">
        <w:rPr>
          <w:sz w:val="24"/>
        </w:rPr>
        <w:t xml:space="preserve"> al </w:t>
      </w:r>
      <w:proofErr w:type="spellStart"/>
      <w:r w:rsidRPr="006E1D0D">
        <w:rPr>
          <w:sz w:val="24"/>
        </w:rPr>
        <w:t>entorno</w:t>
      </w:r>
      <w:proofErr w:type="spellEnd"/>
      <w:r w:rsidRPr="006E1D0D">
        <w:rPr>
          <w:sz w:val="24"/>
        </w:rPr>
        <w:t xml:space="preserve"> </w:t>
      </w:r>
      <w:proofErr w:type="spellStart"/>
      <w:r w:rsidRPr="006E1D0D">
        <w:rPr>
          <w:sz w:val="24"/>
        </w:rPr>
        <w:t>comunitario</w:t>
      </w:r>
      <w:proofErr w:type="spellEnd"/>
      <w:r w:rsidRPr="006E1D0D">
        <w:rPr>
          <w:sz w:val="24"/>
        </w:rPr>
        <w:t xml:space="preserve">, </w:t>
      </w:r>
      <w:proofErr w:type="spellStart"/>
      <w:r w:rsidRPr="006E1D0D">
        <w:rPr>
          <w:sz w:val="24"/>
        </w:rPr>
        <w:t>reducir</w:t>
      </w:r>
      <w:proofErr w:type="spellEnd"/>
      <w:r w:rsidRPr="006E1D0D">
        <w:rPr>
          <w:sz w:val="24"/>
        </w:rPr>
        <w:t xml:space="preserve"> </w:t>
      </w:r>
      <w:proofErr w:type="spellStart"/>
      <w:r w:rsidRPr="006E1D0D">
        <w:rPr>
          <w:sz w:val="24"/>
        </w:rPr>
        <w:t>barreras</w:t>
      </w:r>
      <w:proofErr w:type="spellEnd"/>
      <w:r w:rsidRPr="006E1D0D">
        <w:rPr>
          <w:sz w:val="24"/>
        </w:rPr>
        <w:t xml:space="preserve"> </w:t>
      </w:r>
      <w:proofErr w:type="spellStart"/>
      <w:r w:rsidRPr="006E1D0D">
        <w:rPr>
          <w:sz w:val="24"/>
        </w:rPr>
        <w:t>geográficas</w:t>
      </w:r>
      <w:proofErr w:type="spellEnd"/>
      <w:r w:rsidRPr="006E1D0D">
        <w:rPr>
          <w:sz w:val="24"/>
        </w:rPr>
        <w:t xml:space="preserve"> y </w:t>
      </w:r>
      <w:proofErr w:type="spellStart"/>
      <w:r w:rsidRPr="006E1D0D">
        <w:rPr>
          <w:sz w:val="24"/>
        </w:rPr>
        <w:t>acortar</w:t>
      </w:r>
      <w:proofErr w:type="spellEnd"/>
      <w:r w:rsidRPr="006E1D0D">
        <w:rPr>
          <w:sz w:val="24"/>
        </w:rPr>
        <w:t xml:space="preserve"> los </w:t>
      </w:r>
      <w:proofErr w:type="spellStart"/>
      <w:r w:rsidRPr="006E1D0D">
        <w:rPr>
          <w:sz w:val="24"/>
        </w:rPr>
        <w:t>tiempos</w:t>
      </w:r>
      <w:proofErr w:type="spellEnd"/>
      <w:r w:rsidRPr="006E1D0D">
        <w:rPr>
          <w:sz w:val="24"/>
        </w:rPr>
        <w:t xml:space="preserve"> de </w:t>
      </w:r>
      <w:proofErr w:type="spellStart"/>
      <w:r w:rsidRPr="006E1D0D">
        <w:rPr>
          <w:sz w:val="24"/>
        </w:rPr>
        <w:t>inicio</w:t>
      </w:r>
      <w:proofErr w:type="spellEnd"/>
      <w:r w:rsidRPr="006E1D0D">
        <w:rPr>
          <w:sz w:val="24"/>
        </w:rPr>
        <w:t xml:space="preserve"> </w:t>
      </w:r>
      <w:proofErr w:type="spellStart"/>
      <w:r w:rsidRPr="006E1D0D">
        <w:rPr>
          <w:sz w:val="24"/>
        </w:rPr>
        <w:t>terapéutico</w:t>
      </w:r>
      <w:proofErr w:type="spellEnd"/>
      <w:r w:rsidRPr="006E1D0D">
        <w:rPr>
          <w:sz w:val="24"/>
        </w:rPr>
        <w:t xml:space="preserve">, con un </w:t>
      </w:r>
      <w:proofErr w:type="spellStart"/>
      <w:r w:rsidRPr="006E1D0D">
        <w:rPr>
          <w:sz w:val="24"/>
        </w:rPr>
        <w:t>aumento</w:t>
      </w:r>
      <w:proofErr w:type="spellEnd"/>
      <w:r w:rsidRPr="006E1D0D">
        <w:rPr>
          <w:sz w:val="24"/>
        </w:rPr>
        <w:t xml:space="preserve"> del 1020%, </w:t>
      </w:r>
      <w:proofErr w:type="spellStart"/>
      <w:r w:rsidRPr="006E1D0D">
        <w:rPr>
          <w:sz w:val="24"/>
        </w:rPr>
        <w:t>reflejo</w:t>
      </w:r>
      <w:proofErr w:type="spellEnd"/>
      <w:r w:rsidRPr="006E1D0D">
        <w:rPr>
          <w:sz w:val="24"/>
        </w:rPr>
        <w:t xml:space="preserve"> del </w:t>
      </w:r>
      <w:proofErr w:type="spellStart"/>
      <w:r w:rsidRPr="006E1D0D">
        <w:rPr>
          <w:sz w:val="24"/>
        </w:rPr>
        <w:t>afianzamiento</w:t>
      </w:r>
      <w:proofErr w:type="spellEnd"/>
      <w:r w:rsidRPr="006E1D0D">
        <w:rPr>
          <w:sz w:val="24"/>
        </w:rPr>
        <w:t xml:space="preserve"> de la </w:t>
      </w:r>
      <w:proofErr w:type="spellStart"/>
      <w:r w:rsidRPr="006E1D0D">
        <w:rPr>
          <w:sz w:val="24"/>
        </w:rPr>
        <w:t>respuesta</w:t>
      </w:r>
      <w:proofErr w:type="spellEnd"/>
      <w:r w:rsidRPr="006E1D0D">
        <w:rPr>
          <w:sz w:val="24"/>
        </w:rPr>
        <w:t xml:space="preserve"> </w:t>
      </w:r>
      <w:proofErr w:type="spellStart"/>
      <w:r w:rsidRPr="006E1D0D">
        <w:rPr>
          <w:sz w:val="24"/>
        </w:rPr>
        <w:t>nacional</w:t>
      </w:r>
      <w:proofErr w:type="spellEnd"/>
      <w:r w:rsidRPr="006E1D0D">
        <w:rPr>
          <w:sz w:val="24"/>
        </w:rPr>
        <w:t>.</w:t>
      </w:r>
    </w:p>
    <w:p w:rsidR="00397CBB" w:rsidRDefault="00397CBB" w:rsidP="00A5144F">
      <w:pPr>
        <w:pStyle w:val="Ttulo1"/>
        <w:numPr>
          <w:ilvl w:val="0"/>
          <w:numId w:val="12"/>
        </w:numPr>
        <w:ind w:left="426"/>
        <w:rPr>
          <w:lang w:val="es-ES"/>
        </w:rPr>
      </w:pPr>
      <w:r w:rsidRPr="00397CBB">
        <w:rPr>
          <w:lang w:val="es-ES"/>
        </w:rPr>
        <w:t>Indicadores de impacto y d</w:t>
      </w:r>
      <w:r>
        <w:rPr>
          <w:lang w:val="es-ES"/>
        </w:rPr>
        <w:t>e proceso</w:t>
      </w:r>
    </w:p>
    <w:p w:rsidR="00287886" w:rsidRDefault="00287886" w:rsidP="00287886">
      <w:pPr>
        <w:pStyle w:val="Sinespaciado"/>
        <w:rPr>
          <w:lang w:val="es-ES"/>
        </w:rPr>
      </w:pPr>
    </w:p>
    <w:p w:rsidR="00397CBB" w:rsidRPr="00397CBB" w:rsidRDefault="00397CBB" w:rsidP="00397CBB">
      <w:pPr>
        <w:jc w:val="both"/>
        <w:rPr>
          <w:rFonts w:ascii="Cambria" w:hAnsi="Cambria"/>
          <w:b/>
          <w:sz w:val="24"/>
          <w:lang w:val="es-ES"/>
        </w:rPr>
      </w:pPr>
      <w:r w:rsidRPr="00397CBB">
        <w:rPr>
          <w:rFonts w:ascii="Cambria" w:hAnsi="Cambria"/>
          <w:b/>
          <w:sz w:val="24"/>
          <w:lang w:val="es-ES"/>
        </w:rPr>
        <w:t>Indicadores de impacto</w:t>
      </w:r>
    </w:p>
    <w:p w:rsidR="00397CBB" w:rsidRPr="00397CBB" w:rsidRDefault="00397CBB" w:rsidP="00287886">
      <w:pPr>
        <w:pStyle w:val="Prrafodelista"/>
        <w:numPr>
          <w:ilvl w:val="0"/>
          <w:numId w:val="24"/>
        </w:numPr>
        <w:ind w:left="284" w:hanging="284"/>
        <w:jc w:val="both"/>
        <w:rPr>
          <w:rFonts w:ascii="Cambria" w:hAnsi="Cambria"/>
          <w:b/>
          <w:sz w:val="24"/>
          <w:lang w:val="es-ES"/>
        </w:rPr>
      </w:pPr>
      <w:r w:rsidRPr="00397CBB">
        <w:rPr>
          <w:rFonts w:ascii="Cambria" w:hAnsi="Cambria"/>
          <w:b/>
          <w:sz w:val="24"/>
          <w:lang w:val="es-ES"/>
        </w:rPr>
        <w:t>Reducción de nacidos con VIH (2024→2025)</w:t>
      </w:r>
    </w:p>
    <w:p w:rsidR="00397CBB" w:rsidRPr="00444D3C" w:rsidRDefault="00397CBB" w:rsidP="00397CBB">
      <w:pPr>
        <w:jc w:val="both"/>
        <w:rPr>
          <w:rFonts w:ascii="Cambria" w:hAnsi="Cambria"/>
          <w:sz w:val="24"/>
        </w:rPr>
      </w:pPr>
      <w:r w:rsidRPr="00397CBB">
        <w:rPr>
          <w:rFonts w:ascii="Cambria" w:hAnsi="Cambria"/>
          <w:sz w:val="24"/>
          <w:lang w:val="es-ES"/>
        </w:rPr>
        <w:t xml:space="preserve">En 2024 se registraron 137 recién nacidos expuestos y 8 niños diagnosticados con VIH, mientras que en 2025 se notificaron 3 recién nacidos con infección entre 164 embarazadas con parto previsto. El indicador mide el impacto final de las acciones de eliminación de la transmisión </w:t>
      </w:r>
      <w:proofErr w:type="spellStart"/>
      <w:r w:rsidRPr="00397CBB">
        <w:rPr>
          <w:rFonts w:ascii="Cambria" w:hAnsi="Cambria"/>
          <w:sz w:val="24"/>
          <w:lang w:val="es-ES"/>
        </w:rPr>
        <w:t>maternoinfantil</w:t>
      </w:r>
      <w:proofErr w:type="spellEnd"/>
      <w:r w:rsidRPr="00397CBB">
        <w:rPr>
          <w:rFonts w:ascii="Cambria" w:hAnsi="Cambria"/>
          <w:sz w:val="24"/>
          <w:lang w:val="es-ES"/>
        </w:rPr>
        <w:t>, confirmando la efectividad del testeo prenatal, tratamiento ARV materno, profilaxis intraparto y seguimiento del expuesto.</w:t>
      </w:r>
      <w:r w:rsidRPr="00397CBB">
        <w:rPr>
          <w:rFonts w:ascii="Cambria" w:hAnsi="Cambria"/>
          <w:sz w:val="24"/>
          <w:lang w:val="es-ES"/>
        </w:rPr>
        <w:br/>
      </w:r>
      <w:r w:rsidRPr="00444D3C">
        <w:rPr>
          <w:rFonts w:ascii="Segoe UI Symbol" w:hAnsi="Segoe UI Symbol" w:cs="Segoe UI Symbol"/>
          <w:sz w:val="24"/>
        </w:rPr>
        <w:t>➡</w:t>
      </w:r>
      <w:r w:rsidRPr="00444D3C">
        <w:rPr>
          <w:rFonts w:ascii="Cambria" w:hAnsi="Cambria"/>
          <w:sz w:val="24"/>
        </w:rPr>
        <w:t xml:space="preserve"> </w:t>
      </w:r>
      <w:proofErr w:type="spellStart"/>
      <w:r w:rsidRPr="00444D3C">
        <w:rPr>
          <w:rFonts w:ascii="Cambria" w:hAnsi="Cambria"/>
          <w:sz w:val="24"/>
        </w:rPr>
        <w:t>Reducción</w:t>
      </w:r>
      <w:proofErr w:type="spellEnd"/>
      <w:r w:rsidRPr="00444D3C">
        <w:rPr>
          <w:rFonts w:ascii="Cambria" w:hAnsi="Cambria"/>
          <w:sz w:val="24"/>
        </w:rPr>
        <w:t xml:space="preserve"> del 62.5%.</w:t>
      </w:r>
    </w:p>
    <w:p w:rsidR="00397CBB" w:rsidRPr="00397CBB" w:rsidRDefault="00397CBB" w:rsidP="00287886">
      <w:pPr>
        <w:pStyle w:val="Prrafodelista"/>
        <w:numPr>
          <w:ilvl w:val="0"/>
          <w:numId w:val="24"/>
        </w:numPr>
        <w:ind w:left="284" w:hanging="284"/>
        <w:jc w:val="both"/>
        <w:rPr>
          <w:rFonts w:ascii="Cambria" w:hAnsi="Cambria"/>
          <w:b/>
          <w:sz w:val="24"/>
          <w:lang w:val="es-ES"/>
        </w:rPr>
      </w:pPr>
      <w:r w:rsidRPr="00397CBB">
        <w:rPr>
          <w:rFonts w:ascii="Cambria" w:hAnsi="Cambria"/>
          <w:b/>
          <w:sz w:val="24"/>
          <w:lang w:val="es-ES"/>
        </w:rPr>
        <w:t>Reducción del diagnóstico tardío de VIH (2024→2025)</w:t>
      </w:r>
    </w:p>
    <w:p w:rsidR="00397CBB" w:rsidRDefault="00397CBB" w:rsidP="00397CBB">
      <w:pPr>
        <w:jc w:val="both"/>
        <w:rPr>
          <w:rFonts w:ascii="Cambria" w:hAnsi="Cambria"/>
          <w:sz w:val="24"/>
          <w:lang w:val="es-ES"/>
        </w:rPr>
      </w:pPr>
      <w:r w:rsidRPr="00397CBB">
        <w:rPr>
          <w:rFonts w:ascii="Cambria" w:hAnsi="Cambria"/>
          <w:sz w:val="24"/>
          <w:lang w:val="es-ES"/>
        </w:rPr>
        <w:lastRenderedPageBreak/>
        <w:t>La proporción de personas diagnosticadas en etapa avanzada pasó de 43% en 2024 a 32.15% en 2025. Este indicador mide la oportunidad del diagnóstico en la población y el efecto del fortalecimiento del tamizaje y la vinculación oportuna al sistema de salud.</w:t>
      </w:r>
    </w:p>
    <w:p w:rsidR="00397CBB" w:rsidRPr="00397CBB" w:rsidRDefault="00397CBB" w:rsidP="00397CBB">
      <w:pPr>
        <w:jc w:val="both"/>
        <w:rPr>
          <w:rFonts w:ascii="Cambria" w:hAnsi="Cambria"/>
          <w:sz w:val="24"/>
          <w:lang w:val="es-ES"/>
        </w:rPr>
      </w:pPr>
      <w:r w:rsidRPr="00397CBB">
        <w:rPr>
          <w:rFonts w:ascii="Segoe UI Symbol" w:hAnsi="Segoe UI Symbol" w:cs="Segoe UI Symbol"/>
          <w:sz w:val="24"/>
          <w:lang w:val="es-ES"/>
        </w:rPr>
        <w:t>➡</w:t>
      </w:r>
      <w:r w:rsidRPr="00397CBB">
        <w:rPr>
          <w:rFonts w:ascii="Cambria" w:hAnsi="Cambria"/>
          <w:sz w:val="24"/>
          <w:lang w:val="es-ES"/>
        </w:rPr>
        <w:t xml:space="preserve"> Reducción del 25.2%.</w:t>
      </w:r>
    </w:p>
    <w:p w:rsidR="00397CBB" w:rsidRPr="00397CBB" w:rsidRDefault="00397CBB" w:rsidP="00287886">
      <w:pPr>
        <w:pStyle w:val="Sinespaciado"/>
        <w:rPr>
          <w:lang w:val="es-ES"/>
        </w:rPr>
      </w:pPr>
    </w:p>
    <w:p w:rsidR="00397CBB" w:rsidRPr="00397CBB" w:rsidRDefault="00397CBB" w:rsidP="00397CBB">
      <w:pPr>
        <w:jc w:val="both"/>
        <w:rPr>
          <w:rFonts w:ascii="Cambria" w:hAnsi="Cambria"/>
          <w:b/>
          <w:sz w:val="24"/>
          <w:lang w:val="es-ES"/>
        </w:rPr>
      </w:pPr>
      <w:r w:rsidRPr="00397CBB">
        <w:rPr>
          <w:rFonts w:ascii="Cambria" w:hAnsi="Cambria"/>
          <w:b/>
          <w:sz w:val="24"/>
          <w:lang w:val="es-ES"/>
        </w:rPr>
        <w:t>Indicadores de proceso</w:t>
      </w:r>
    </w:p>
    <w:p w:rsidR="00397CBB" w:rsidRPr="00397CBB" w:rsidRDefault="00397CBB" w:rsidP="00287886">
      <w:pPr>
        <w:pStyle w:val="Prrafodelista"/>
        <w:numPr>
          <w:ilvl w:val="0"/>
          <w:numId w:val="25"/>
        </w:numPr>
        <w:ind w:left="284" w:hanging="284"/>
        <w:jc w:val="both"/>
        <w:rPr>
          <w:rFonts w:ascii="Cambria" w:hAnsi="Cambria"/>
          <w:b/>
          <w:sz w:val="24"/>
          <w:lang w:val="es-ES"/>
        </w:rPr>
      </w:pPr>
      <w:r w:rsidRPr="00397CBB">
        <w:rPr>
          <w:rFonts w:ascii="Cambria" w:hAnsi="Cambria"/>
          <w:b/>
          <w:sz w:val="24"/>
          <w:lang w:val="es-ES"/>
        </w:rPr>
        <w:t>Establecimientos habilitados para ETMI Plus (2023→2025)</w:t>
      </w:r>
    </w:p>
    <w:p w:rsidR="00397CBB" w:rsidRDefault="00397CBB" w:rsidP="00397CBB">
      <w:pPr>
        <w:jc w:val="both"/>
        <w:rPr>
          <w:rFonts w:ascii="Cambria" w:hAnsi="Cambria"/>
          <w:sz w:val="24"/>
          <w:lang w:val="es-ES"/>
        </w:rPr>
      </w:pPr>
      <w:r w:rsidRPr="00397CBB">
        <w:rPr>
          <w:rFonts w:ascii="Cambria" w:hAnsi="Cambria"/>
          <w:sz w:val="24"/>
          <w:lang w:val="es-ES"/>
        </w:rPr>
        <w:t>La estrategia ETMI Plus se expandió de 18 centros en 2023 a 252 establecimientos en 2025, integrando hospitales y Unidades de Salud Familiar. El indicador mide el esfuerzo operativo para garantizar cobertura territorial y acceso a la atención materno-infantil con enfoque de eliminación.</w:t>
      </w:r>
    </w:p>
    <w:p w:rsidR="00397CBB" w:rsidRPr="00397CBB" w:rsidRDefault="00397CBB" w:rsidP="00397CBB">
      <w:pPr>
        <w:jc w:val="both"/>
        <w:rPr>
          <w:rFonts w:ascii="Cambria" w:hAnsi="Cambria"/>
          <w:sz w:val="24"/>
          <w:lang w:val="es-ES"/>
        </w:rPr>
      </w:pPr>
      <w:r w:rsidRPr="00397CBB">
        <w:rPr>
          <w:rFonts w:ascii="Segoe UI Symbol" w:hAnsi="Segoe UI Symbol" w:cs="Segoe UI Symbol"/>
          <w:sz w:val="24"/>
          <w:lang w:val="es-ES"/>
        </w:rPr>
        <w:t>➡</w:t>
      </w:r>
      <w:r w:rsidRPr="00397CBB">
        <w:rPr>
          <w:rFonts w:ascii="Cambria" w:hAnsi="Cambria"/>
          <w:sz w:val="24"/>
          <w:lang w:val="es-ES"/>
        </w:rPr>
        <w:t xml:space="preserve"> Aumento del 1300%.</w:t>
      </w:r>
    </w:p>
    <w:p w:rsidR="00397CBB" w:rsidRPr="00397CBB" w:rsidRDefault="00397CBB" w:rsidP="00287886">
      <w:pPr>
        <w:pStyle w:val="Prrafodelista"/>
        <w:numPr>
          <w:ilvl w:val="0"/>
          <w:numId w:val="25"/>
        </w:numPr>
        <w:ind w:left="284" w:hanging="284"/>
        <w:jc w:val="both"/>
        <w:rPr>
          <w:rFonts w:ascii="Cambria" w:hAnsi="Cambria"/>
          <w:b/>
          <w:sz w:val="24"/>
          <w:lang w:val="es-ES"/>
        </w:rPr>
      </w:pPr>
      <w:r w:rsidRPr="00397CBB">
        <w:rPr>
          <w:rFonts w:ascii="Cambria" w:hAnsi="Cambria"/>
          <w:b/>
          <w:sz w:val="24"/>
          <w:lang w:val="es-ES"/>
        </w:rPr>
        <w:t>Descentralización de la medicación ARV (2024→2025)</w:t>
      </w:r>
    </w:p>
    <w:p w:rsidR="00397CBB" w:rsidRDefault="00397CBB" w:rsidP="00397CBB">
      <w:pPr>
        <w:jc w:val="both"/>
        <w:rPr>
          <w:rFonts w:ascii="Cambria" w:hAnsi="Cambria"/>
          <w:sz w:val="24"/>
          <w:lang w:val="es-ES"/>
        </w:rPr>
      </w:pPr>
      <w:r w:rsidRPr="00397CBB">
        <w:rPr>
          <w:rFonts w:ascii="Cambria" w:hAnsi="Cambria"/>
          <w:sz w:val="24"/>
          <w:lang w:val="es-ES"/>
        </w:rPr>
        <w:t>Los puntos con disponibilidad de ARV pasaron de 20 centros de tercer nivel en 2024 a 224 centros en 2025: 16 Hospitales Regionales, 12 Especializados, 40 Distritales y 156 USF. El indicador mide la capacidad de proceso del sistema para acercar el tratamiento al primer y segundo nivel, reduciendo barreras geográficas y tiempos de inicio.</w:t>
      </w:r>
    </w:p>
    <w:p w:rsidR="00397CBB" w:rsidRPr="00397CBB" w:rsidRDefault="00397CBB" w:rsidP="00397CBB">
      <w:pPr>
        <w:jc w:val="both"/>
        <w:rPr>
          <w:rFonts w:ascii="Cambria" w:hAnsi="Cambria"/>
          <w:sz w:val="24"/>
          <w:lang w:val="es-ES"/>
        </w:rPr>
      </w:pPr>
      <w:r w:rsidRPr="00397CBB">
        <w:rPr>
          <w:rFonts w:ascii="Segoe UI Symbol" w:hAnsi="Segoe UI Symbol" w:cs="Segoe UI Symbol"/>
          <w:sz w:val="24"/>
          <w:lang w:val="es-ES"/>
        </w:rPr>
        <w:t>➡</w:t>
      </w:r>
      <w:r w:rsidRPr="00397CBB">
        <w:rPr>
          <w:rFonts w:ascii="Cambria" w:hAnsi="Cambria"/>
          <w:sz w:val="24"/>
          <w:lang w:val="es-ES"/>
        </w:rPr>
        <w:t xml:space="preserve"> Aumento del 1020%.</w:t>
      </w:r>
    </w:p>
    <w:p w:rsidR="00397CBB" w:rsidRPr="00397CBB" w:rsidRDefault="00397CBB" w:rsidP="00287886">
      <w:pPr>
        <w:pStyle w:val="Prrafodelista"/>
        <w:numPr>
          <w:ilvl w:val="0"/>
          <w:numId w:val="25"/>
        </w:numPr>
        <w:ind w:left="284" w:hanging="284"/>
        <w:jc w:val="both"/>
        <w:rPr>
          <w:rFonts w:ascii="Cambria" w:hAnsi="Cambria"/>
          <w:b/>
          <w:sz w:val="24"/>
          <w:lang w:val="es-ES"/>
        </w:rPr>
      </w:pPr>
      <w:r w:rsidRPr="00397CBB">
        <w:rPr>
          <w:rFonts w:ascii="Cambria" w:hAnsi="Cambria"/>
          <w:b/>
          <w:sz w:val="24"/>
          <w:lang w:val="es-ES"/>
        </w:rPr>
        <w:t xml:space="preserve">Usuarios en </w:t>
      </w:r>
      <w:proofErr w:type="spellStart"/>
      <w:r w:rsidRPr="00397CBB">
        <w:rPr>
          <w:rFonts w:ascii="Cambria" w:hAnsi="Cambria"/>
          <w:b/>
          <w:sz w:val="24"/>
          <w:lang w:val="es-ES"/>
        </w:rPr>
        <w:t>PrEP</w:t>
      </w:r>
      <w:proofErr w:type="spellEnd"/>
      <w:r w:rsidRPr="00397CBB">
        <w:rPr>
          <w:rFonts w:ascii="Cambria" w:hAnsi="Cambria"/>
          <w:b/>
          <w:sz w:val="24"/>
          <w:lang w:val="es-ES"/>
        </w:rPr>
        <w:t xml:space="preserve"> – aumento (situación inicial→2025)</w:t>
      </w:r>
    </w:p>
    <w:p w:rsidR="00397CBB" w:rsidRPr="00397CBB" w:rsidRDefault="00397CBB" w:rsidP="00397CBB">
      <w:pPr>
        <w:jc w:val="both"/>
        <w:rPr>
          <w:rFonts w:ascii="Cambria" w:hAnsi="Cambria"/>
          <w:sz w:val="24"/>
          <w:lang w:val="es-ES"/>
        </w:rPr>
      </w:pPr>
      <w:r w:rsidRPr="00397CBB">
        <w:rPr>
          <w:rFonts w:ascii="Cambria" w:hAnsi="Cambria"/>
          <w:sz w:val="24"/>
          <w:lang w:val="es-ES"/>
        </w:rPr>
        <w:t>Indicador de proceso con efecto de impacto intermedio</w:t>
      </w:r>
    </w:p>
    <w:p w:rsidR="00397CBB" w:rsidRDefault="00397CBB" w:rsidP="00397CBB">
      <w:pPr>
        <w:jc w:val="both"/>
        <w:rPr>
          <w:rFonts w:ascii="Cambria" w:hAnsi="Cambria"/>
          <w:sz w:val="24"/>
          <w:lang w:val="es-ES"/>
        </w:rPr>
      </w:pPr>
      <w:r w:rsidRPr="00397CBB">
        <w:rPr>
          <w:rFonts w:ascii="Cambria" w:hAnsi="Cambria"/>
          <w:sz w:val="24"/>
          <w:lang w:val="es-ES"/>
        </w:rPr>
        <w:t>El indicador mide la ampliación de la oferta de profilaxis pre exposición y el fortalecimiento de la prevención combinada en poblaciones expuestas, reflejando un cambio programático sustancial en la captación preventiva.</w:t>
      </w:r>
    </w:p>
    <w:p w:rsidR="00397CBB" w:rsidRPr="00397CBB" w:rsidRDefault="00397CBB" w:rsidP="00397CBB">
      <w:pPr>
        <w:jc w:val="both"/>
        <w:rPr>
          <w:rFonts w:ascii="Cambria" w:hAnsi="Cambria"/>
          <w:sz w:val="24"/>
          <w:lang w:val="es-ES"/>
        </w:rPr>
      </w:pPr>
      <w:r>
        <w:rPr>
          <w:rFonts w:ascii="Cambria" w:hAnsi="Cambria"/>
          <w:sz w:val="24"/>
          <w:lang w:val="es-ES"/>
        </w:rPr>
        <w:t xml:space="preserve">En el año 2022 se alcanzó </w:t>
      </w:r>
      <w:r w:rsidRPr="00397CBB">
        <w:rPr>
          <w:rFonts w:ascii="Cambria" w:hAnsi="Cambria"/>
          <w:sz w:val="24"/>
          <w:lang w:val="es-ES"/>
        </w:rPr>
        <w:t>293 usuarios</w:t>
      </w:r>
      <w:r>
        <w:rPr>
          <w:rFonts w:ascii="Cambria" w:hAnsi="Cambria"/>
          <w:sz w:val="24"/>
          <w:lang w:val="es-ES"/>
        </w:rPr>
        <w:t xml:space="preserve"> y en el año 2025,</w:t>
      </w:r>
      <w:r w:rsidRPr="00397CBB">
        <w:rPr>
          <w:rFonts w:ascii="Cambria" w:hAnsi="Cambria"/>
          <w:sz w:val="24"/>
          <w:lang w:val="es-ES"/>
        </w:rPr>
        <w:t xml:space="preserve"> 2405 usuarios</w:t>
      </w:r>
    </w:p>
    <w:p w:rsidR="00397CBB" w:rsidRPr="00397CBB" w:rsidRDefault="00397CBB" w:rsidP="00397CBB">
      <w:pPr>
        <w:jc w:val="both"/>
        <w:rPr>
          <w:rFonts w:ascii="Cambria" w:hAnsi="Cambria"/>
          <w:sz w:val="24"/>
          <w:lang w:val="es-ES"/>
        </w:rPr>
      </w:pPr>
      <w:r w:rsidRPr="00397CBB">
        <w:rPr>
          <w:rFonts w:ascii="Segoe UI Symbol" w:hAnsi="Segoe UI Symbol" w:cs="Segoe UI Symbol"/>
          <w:sz w:val="24"/>
          <w:lang w:val="es-ES"/>
        </w:rPr>
        <w:t>➡</w:t>
      </w:r>
      <w:r w:rsidRPr="00397CBB">
        <w:rPr>
          <w:rFonts w:ascii="Cambria" w:hAnsi="Cambria"/>
          <w:sz w:val="24"/>
          <w:lang w:val="es-ES"/>
        </w:rPr>
        <w:t xml:space="preserve"> Aumento del 720.8%.</w:t>
      </w:r>
    </w:p>
    <w:p w:rsidR="00397CBB" w:rsidRPr="00397CBB" w:rsidRDefault="00397CBB" w:rsidP="00287886">
      <w:pPr>
        <w:pStyle w:val="Prrafodelista"/>
        <w:numPr>
          <w:ilvl w:val="0"/>
          <w:numId w:val="25"/>
        </w:numPr>
        <w:ind w:left="284" w:hanging="284"/>
        <w:jc w:val="both"/>
        <w:rPr>
          <w:rFonts w:ascii="Cambria" w:hAnsi="Cambria"/>
          <w:b/>
          <w:sz w:val="24"/>
          <w:lang w:val="es-ES"/>
        </w:rPr>
      </w:pPr>
      <w:r w:rsidRPr="00397CBB">
        <w:rPr>
          <w:rFonts w:ascii="Cambria" w:hAnsi="Cambria"/>
          <w:b/>
          <w:sz w:val="24"/>
          <w:lang w:val="es-ES"/>
        </w:rPr>
        <w:t xml:space="preserve">Optimización de equipos </w:t>
      </w:r>
      <w:proofErr w:type="spellStart"/>
      <w:r w:rsidRPr="00397CBB">
        <w:rPr>
          <w:rFonts w:ascii="Cambria" w:hAnsi="Cambria"/>
          <w:b/>
          <w:sz w:val="24"/>
          <w:lang w:val="es-ES"/>
        </w:rPr>
        <w:t>GeneXpert</w:t>
      </w:r>
      <w:proofErr w:type="spellEnd"/>
      <w:r w:rsidRPr="00397CBB">
        <w:rPr>
          <w:rFonts w:ascii="Cambria" w:hAnsi="Cambria"/>
          <w:b/>
          <w:sz w:val="24"/>
          <w:lang w:val="es-ES"/>
        </w:rPr>
        <w:t xml:space="preserve"> (2023→2025)</w:t>
      </w:r>
    </w:p>
    <w:p w:rsidR="00397CBB" w:rsidRDefault="00397CBB" w:rsidP="00397CBB">
      <w:pPr>
        <w:jc w:val="both"/>
        <w:rPr>
          <w:rFonts w:ascii="Cambria" w:hAnsi="Cambria"/>
          <w:sz w:val="24"/>
        </w:rPr>
      </w:pPr>
      <w:r w:rsidRPr="00397CBB">
        <w:rPr>
          <w:rFonts w:ascii="Cambria" w:hAnsi="Cambria"/>
          <w:sz w:val="24"/>
          <w:lang w:val="es-ES"/>
        </w:rPr>
        <w:t>De 11 hospitales en 2023 a 27 en 2025 con procesamiento de carga viral. El indicador mide el proceso de fortalecimiento laboratorial para diagnóstico y seguimiento, mejorando la rapidez de resultados y el monitoreo de personas en ARV.</w:t>
      </w:r>
      <w:r w:rsidRPr="00397CBB">
        <w:rPr>
          <w:rFonts w:ascii="Cambria" w:hAnsi="Cambria"/>
          <w:sz w:val="24"/>
          <w:lang w:val="es-ES"/>
        </w:rPr>
        <w:br/>
      </w:r>
      <w:r w:rsidRPr="00444D3C">
        <w:rPr>
          <w:rFonts w:ascii="Segoe UI Symbol" w:hAnsi="Segoe UI Symbol" w:cs="Segoe UI Symbol"/>
          <w:sz w:val="24"/>
        </w:rPr>
        <w:t>➡</w:t>
      </w:r>
      <w:r w:rsidRPr="00444D3C">
        <w:rPr>
          <w:rFonts w:ascii="Cambria" w:hAnsi="Cambria"/>
          <w:sz w:val="24"/>
        </w:rPr>
        <w:t xml:space="preserve"> </w:t>
      </w:r>
      <w:proofErr w:type="spellStart"/>
      <w:r w:rsidRPr="00444D3C">
        <w:rPr>
          <w:rFonts w:ascii="Cambria" w:hAnsi="Cambria"/>
          <w:sz w:val="24"/>
        </w:rPr>
        <w:t>Aumento</w:t>
      </w:r>
      <w:proofErr w:type="spellEnd"/>
      <w:r w:rsidRPr="00444D3C">
        <w:rPr>
          <w:rFonts w:ascii="Cambria" w:hAnsi="Cambria"/>
          <w:sz w:val="24"/>
        </w:rPr>
        <w:t xml:space="preserve"> del 145.5%.</w:t>
      </w:r>
    </w:p>
    <w:p w:rsidR="00A5144F" w:rsidRDefault="00A5144F" w:rsidP="00287886">
      <w:pPr>
        <w:pStyle w:val="Ttulo1"/>
        <w:numPr>
          <w:ilvl w:val="0"/>
          <w:numId w:val="12"/>
        </w:numPr>
        <w:ind w:left="426" w:hanging="426"/>
        <w:rPr>
          <w:lang w:val="es-ES"/>
        </w:rPr>
      </w:pPr>
      <w:r w:rsidRPr="00A5144F">
        <w:rPr>
          <w:lang w:val="es-ES"/>
        </w:rPr>
        <w:t>Retos y oportunidades de m</w:t>
      </w:r>
      <w:r>
        <w:rPr>
          <w:lang w:val="es-ES"/>
        </w:rPr>
        <w:t>ejora</w:t>
      </w:r>
    </w:p>
    <w:p w:rsidR="00287886" w:rsidRPr="00287886" w:rsidRDefault="00287886" w:rsidP="00287886">
      <w:pPr>
        <w:pStyle w:val="Sinespaciado"/>
        <w:rPr>
          <w:lang w:val="es-ES"/>
        </w:rPr>
      </w:pPr>
    </w:p>
    <w:p w:rsidR="00A5144F" w:rsidRPr="00A5144F" w:rsidRDefault="00A5144F" w:rsidP="00A5144F">
      <w:pPr>
        <w:jc w:val="both"/>
        <w:rPr>
          <w:rFonts w:ascii="Cambria" w:hAnsi="Cambria"/>
          <w:sz w:val="24"/>
          <w:lang w:val="es-ES"/>
        </w:rPr>
      </w:pPr>
      <w:r w:rsidRPr="00A5144F">
        <w:rPr>
          <w:rFonts w:ascii="Cambria" w:hAnsi="Cambria"/>
          <w:sz w:val="24"/>
          <w:lang w:val="es-ES"/>
        </w:rPr>
        <w:lastRenderedPageBreak/>
        <w:t>El Programa de VIH del Ministerio de Salud reconoce que, si bien se han evidenciado mejoras sustanciales en los indicadores de prevención y de atención, la sostenibilidad de estos avances exige abordar con mayor decisión los aspectos estructurales que aún condicionan la respuesta nacional.</w:t>
      </w:r>
    </w:p>
    <w:p w:rsidR="00A5144F" w:rsidRPr="00A5144F" w:rsidRDefault="00A5144F" w:rsidP="00A5144F">
      <w:pPr>
        <w:jc w:val="both"/>
        <w:rPr>
          <w:rFonts w:ascii="Cambria" w:hAnsi="Cambria"/>
          <w:sz w:val="24"/>
          <w:lang w:val="es-ES"/>
        </w:rPr>
      </w:pPr>
      <w:r w:rsidRPr="00A5144F">
        <w:rPr>
          <w:rFonts w:ascii="Cambria" w:hAnsi="Cambria"/>
          <w:sz w:val="24"/>
          <w:lang w:val="es-ES"/>
        </w:rPr>
        <w:t>La notificación oportuna se encuentra limitada por la ausencia de interoperabilidad entre los sistemas de información vigentes, situación que impide la integración automática de datos de tamizaje, atención clínica y seguimiento de embarazadas y personas con VIH, y obliga a los equipos a realizar procesos manuales que consumen tiempo y recursos humanos. Este escenario afecta la calidad del monitoreo epidemiológico y la posibilidad de contar con información única, nominal y protegida para la toma de decisiones.</w:t>
      </w:r>
    </w:p>
    <w:p w:rsidR="00A5144F" w:rsidRPr="00A5144F" w:rsidRDefault="00A5144F" w:rsidP="00A5144F">
      <w:pPr>
        <w:jc w:val="both"/>
        <w:rPr>
          <w:rFonts w:ascii="Cambria" w:hAnsi="Cambria"/>
          <w:sz w:val="24"/>
          <w:lang w:val="es-ES"/>
        </w:rPr>
      </w:pPr>
      <w:r w:rsidRPr="00A5144F">
        <w:rPr>
          <w:rFonts w:ascii="Cambria" w:hAnsi="Cambria"/>
          <w:sz w:val="24"/>
          <w:lang w:val="es-ES"/>
        </w:rPr>
        <w:t>Persiste además una brecha de capacitación del personal de salud en el manejo integral del VIH, en la aplicación de los principios de confidencialidad establecidos por la Ley 3940/09 y en el enfoque de atención basado en derechos. La actualización continua de competencias resulta indispensable para garantizar un trato seguro, respetuoso y alineado con las obligaciones legales de protección de datos personales.</w:t>
      </w:r>
    </w:p>
    <w:p w:rsidR="00A5144F" w:rsidRPr="00A5144F" w:rsidRDefault="00A5144F" w:rsidP="00A5144F">
      <w:pPr>
        <w:jc w:val="both"/>
        <w:rPr>
          <w:rFonts w:ascii="Cambria" w:hAnsi="Cambria"/>
          <w:sz w:val="24"/>
          <w:lang w:val="es-ES"/>
        </w:rPr>
      </w:pPr>
      <w:r w:rsidRPr="00A5144F">
        <w:rPr>
          <w:rFonts w:ascii="Cambria" w:hAnsi="Cambria"/>
          <w:sz w:val="24"/>
          <w:lang w:val="es-ES"/>
        </w:rPr>
        <w:t>El estigma y la discriminación continúan siendo desafíos transversales que impactan en la demanda de servicios, la adherencia al tratamiento y la participación de las poblaciones clave. El Programa asume la necesidad de fortalecer la atención con perspectiva de derechos, promover la inclusión de la salud mental como componente del cuidado, y considerar de manera sistemática los determinantes sociales que influyen en la vulnerabilidad frente al VIH.</w:t>
      </w:r>
    </w:p>
    <w:p w:rsidR="00A5144F" w:rsidRPr="00A5144F" w:rsidRDefault="00A5144F" w:rsidP="00A5144F">
      <w:pPr>
        <w:jc w:val="both"/>
        <w:rPr>
          <w:rFonts w:ascii="Cambria" w:hAnsi="Cambria"/>
          <w:sz w:val="24"/>
          <w:lang w:val="es-ES"/>
        </w:rPr>
      </w:pPr>
      <w:r w:rsidRPr="00A5144F">
        <w:rPr>
          <w:rFonts w:ascii="Cambria" w:hAnsi="Cambria"/>
          <w:sz w:val="24"/>
          <w:lang w:val="es-ES"/>
        </w:rPr>
        <w:t>En materia de gestión, la sostenibilidad del financiamiento y la continuidad de la cadena de suministros constituyen áreas críticas. Es prioritario asegurar el abastecimiento ininterrumpido de insumos de laboratorio para tamizaje, diagnóstico y seguimiento, así como de medicamentos antirretrovirales. La planificación unificada y la estimación anticipada de compras deben consolidarse mediante un nuevo registro de procesos de cuantificación y programación de adquisición, que permita mayor previsibilidad y transparencia.</w:t>
      </w:r>
    </w:p>
    <w:p w:rsidR="00A5144F" w:rsidRPr="00A5144F" w:rsidRDefault="00A5144F" w:rsidP="00A5144F">
      <w:pPr>
        <w:jc w:val="both"/>
        <w:rPr>
          <w:rFonts w:ascii="Cambria" w:hAnsi="Cambria"/>
          <w:sz w:val="24"/>
          <w:lang w:val="es-ES"/>
        </w:rPr>
      </w:pPr>
      <w:r w:rsidRPr="00A5144F">
        <w:rPr>
          <w:rFonts w:ascii="Cambria" w:hAnsi="Cambria"/>
          <w:sz w:val="24"/>
          <w:lang w:val="es-ES"/>
        </w:rPr>
        <w:t>Se requieren igualmente mejoras en la infraestructura edilicia del Programa, la ampliación del área de consejería, el fortalecimiento del trabajo comunitario y la expansión de la oferta en hospitales del segundo nivel y en las Unidades de Salud de la Familia, especialmente en zonas rurales y para poblaciones móviles.</w:t>
      </w:r>
    </w:p>
    <w:p w:rsidR="00A5144F" w:rsidRDefault="00A5144F" w:rsidP="00A5144F">
      <w:pPr>
        <w:jc w:val="both"/>
        <w:rPr>
          <w:rFonts w:ascii="Cambria" w:hAnsi="Cambria"/>
          <w:sz w:val="24"/>
          <w:lang w:val="es-ES"/>
        </w:rPr>
      </w:pPr>
      <w:r w:rsidRPr="00A5144F">
        <w:rPr>
          <w:rFonts w:ascii="Cambria" w:hAnsi="Cambria"/>
          <w:sz w:val="24"/>
          <w:lang w:val="es-ES"/>
        </w:rPr>
        <w:t xml:space="preserve">El desafío estratégico central es superar el modelo vertical y </w:t>
      </w:r>
      <w:proofErr w:type="spellStart"/>
      <w:r w:rsidRPr="00A5144F">
        <w:rPr>
          <w:rFonts w:ascii="Cambria" w:hAnsi="Cambria"/>
          <w:sz w:val="24"/>
          <w:lang w:val="es-ES"/>
        </w:rPr>
        <w:t>hospitalocéntrico</w:t>
      </w:r>
      <w:proofErr w:type="spellEnd"/>
      <w:r w:rsidRPr="00A5144F">
        <w:rPr>
          <w:rFonts w:ascii="Cambria" w:hAnsi="Cambria"/>
          <w:sz w:val="24"/>
          <w:lang w:val="es-ES"/>
        </w:rPr>
        <w:t xml:space="preserve"> para avanzar hacia una visión de salud pública integrada, donde la prevención, la atención a personas con VIH y el seguimiento constituyan un proceso continuo dentro del sistema. Esta mirada implica servicios cercanos al entorno comunitario, libres de estigma y discriminación, con articulación intersectorial que incorpore protección social, salud mental y protección de datos como pilares del cuidado integral.</w:t>
      </w:r>
    </w:p>
    <w:p w:rsidR="00287886" w:rsidRDefault="00287886" w:rsidP="00287886">
      <w:pPr>
        <w:pStyle w:val="Ttulo1"/>
        <w:numPr>
          <w:ilvl w:val="0"/>
          <w:numId w:val="12"/>
        </w:numPr>
        <w:ind w:left="426" w:hanging="426"/>
        <w:rPr>
          <w:lang w:val="es-ES"/>
        </w:rPr>
      </w:pPr>
      <w:r>
        <w:rPr>
          <w:lang w:val="es-ES"/>
        </w:rPr>
        <w:t>Contrataciones y ejecución financiera</w:t>
      </w:r>
      <w:r w:rsidR="00A03389">
        <w:rPr>
          <w:lang w:val="es-ES"/>
        </w:rPr>
        <w:t xml:space="preserve"> del ejercicio fiscal 2025</w:t>
      </w:r>
    </w:p>
    <w:p w:rsidR="003733B5" w:rsidRDefault="003733B5" w:rsidP="00A03389">
      <w:pPr>
        <w:jc w:val="both"/>
        <w:rPr>
          <w:rFonts w:ascii="Cambria" w:eastAsia="Times New Roman" w:hAnsi="Cambria" w:cstheme="minorHAnsi"/>
          <w:noProof/>
          <w:sz w:val="24"/>
          <w:szCs w:val="24"/>
          <w:lang w:val="es-ES_tradnl" w:eastAsia="fr-FR"/>
        </w:rPr>
      </w:pPr>
    </w:p>
    <w:p w:rsidR="00A03389" w:rsidRDefault="00A03389" w:rsidP="00A03389">
      <w:pPr>
        <w:jc w:val="both"/>
        <w:rPr>
          <w:rFonts w:ascii="Cambria" w:eastAsia="Times New Roman" w:hAnsi="Cambria" w:cstheme="minorHAnsi"/>
          <w:noProof/>
          <w:sz w:val="24"/>
          <w:szCs w:val="24"/>
          <w:lang w:val="es-ES_tradnl" w:eastAsia="fr-FR"/>
        </w:rPr>
      </w:pPr>
      <w:r w:rsidRPr="00A03389">
        <w:rPr>
          <w:rFonts w:ascii="Cambria" w:eastAsia="Times New Roman" w:hAnsi="Cambria" w:cstheme="minorHAnsi"/>
          <w:noProof/>
          <w:sz w:val="24"/>
          <w:szCs w:val="24"/>
          <w:lang w:val="es-ES_tradnl" w:eastAsia="fr-FR"/>
        </w:rPr>
        <w:lastRenderedPageBreak/>
        <w:t>Durante el ejercicio fiscal 2025, el PRONASIDA ejecutó procesos de contratación de bienes y servicios necesarios para el cumplimiento de sus funciones misionales y administrativas, conforme a la normativa vigente del Sistema Nacional de Contrataciones Públicas y disposiciones complementarias.</w:t>
      </w:r>
    </w:p>
    <w:p w:rsidR="00A03389" w:rsidRPr="00A03389" w:rsidRDefault="00A03389" w:rsidP="00A03389">
      <w:pPr>
        <w:jc w:val="both"/>
        <w:rPr>
          <w:rFonts w:ascii="Cambria" w:eastAsia="Times New Roman" w:hAnsi="Cambria" w:cstheme="minorHAnsi"/>
          <w:noProof/>
          <w:sz w:val="24"/>
          <w:szCs w:val="24"/>
          <w:lang w:val="es-ES_tradnl" w:eastAsia="fr-FR"/>
        </w:rPr>
      </w:pPr>
      <w:r w:rsidRPr="00A03389">
        <w:rPr>
          <w:rFonts w:ascii="Cambria" w:eastAsia="Times New Roman" w:hAnsi="Cambria" w:cstheme="minorHAnsi"/>
          <w:noProof/>
          <w:sz w:val="24"/>
          <w:szCs w:val="24"/>
          <w:lang w:val="es-ES_tradnl" w:eastAsia="fr-FR"/>
        </w:rPr>
        <w:t xml:space="preserve">En el marco del </w:t>
      </w:r>
      <w:r w:rsidRPr="00A03389">
        <w:rPr>
          <w:rFonts w:ascii="Cambria" w:eastAsia="Times New Roman" w:hAnsi="Cambria" w:cstheme="minorHAnsi"/>
          <w:b/>
          <w:bCs/>
          <w:noProof/>
          <w:sz w:val="24"/>
          <w:szCs w:val="24"/>
          <w:u w:val="single"/>
          <w:lang w:val="es-ES_tradnl" w:eastAsia="fr-FR"/>
        </w:rPr>
        <w:t>rubro 242 – Mantenimiento y reparaciones menores de edificios y locales</w:t>
      </w:r>
      <w:r w:rsidRPr="00A03389">
        <w:rPr>
          <w:rFonts w:ascii="Cambria" w:eastAsia="Times New Roman" w:hAnsi="Cambria" w:cstheme="minorHAnsi"/>
          <w:noProof/>
          <w:sz w:val="24"/>
          <w:szCs w:val="24"/>
          <w:lang w:val="es-ES_tradnl" w:eastAsia="fr-FR"/>
        </w:rPr>
        <w:t xml:space="preserve">, se ejecutó el contrato identificado con </w:t>
      </w:r>
      <w:r w:rsidRPr="00A03389">
        <w:rPr>
          <w:rFonts w:ascii="Cambria" w:eastAsia="Times New Roman" w:hAnsi="Cambria" w:cstheme="minorHAnsi"/>
          <w:b/>
          <w:bCs/>
          <w:noProof/>
          <w:sz w:val="24"/>
          <w:szCs w:val="24"/>
          <w:lang w:val="es-ES_tradnl" w:eastAsia="fr-FR"/>
        </w:rPr>
        <w:t>ID 445665 (DNCP)</w:t>
      </w:r>
      <w:r w:rsidRPr="00A03389">
        <w:rPr>
          <w:rFonts w:ascii="Cambria" w:eastAsia="Times New Roman" w:hAnsi="Cambria" w:cstheme="minorHAnsi"/>
          <w:noProof/>
          <w:sz w:val="24"/>
          <w:szCs w:val="24"/>
          <w:lang w:val="es-ES_tradnl" w:eastAsia="fr-FR"/>
        </w:rPr>
        <w:t xml:space="preserve">, por un </w:t>
      </w:r>
      <w:r w:rsidRPr="00A03389">
        <w:rPr>
          <w:rFonts w:ascii="Cambria" w:eastAsia="Times New Roman" w:hAnsi="Cambria" w:cstheme="minorHAnsi"/>
          <w:b/>
          <w:bCs/>
          <w:noProof/>
          <w:sz w:val="24"/>
          <w:szCs w:val="24"/>
          <w:lang w:val="es-ES_tradnl" w:eastAsia="fr-FR"/>
        </w:rPr>
        <w:t>monto de Gs. 98.523.290</w:t>
      </w:r>
      <w:r w:rsidRPr="00A03389">
        <w:rPr>
          <w:rFonts w:ascii="Cambria" w:eastAsia="Times New Roman" w:hAnsi="Cambria" w:cstheme="minorHAnsi"/>
          <w:noProof/>
          <w:sz w:val="24"/>
          <w:szCs w:val="24"/>
          <w:lang w:val="es-ES_tradnl" w:eastAsia="fr-FR"/>
        </w:rPr>
        <w:t>, adjudicado al proveedor Hugo Constantino Giovine Gramatchicoff, encontrándose el mismo en estado de ejecución durante el ejercicio fiscal 2025.</w:t>
      </w:r>
    </w:p>
    <w:p w:rsidR="00A03389" w:rsidRPr="00A03389" w:rsidRDefault="00A03389" w:rsidP="00A03389">
      <w:pPr>
        <w:jc w:val="both"/>
        <w:rPr>
          <w:rFonts w:ascii="Cambria" w:eastAsia="Times New Roman" w:hAnsi="Cambria" w:cstheme="minorHAnsi"/>
          <w:noProof/>
          <w:sz w:val="24"/>
          <w:szCs w:val="24"/>
          <w:lang w:val="es-ES_tradnl" w:eastAsia="fr-FR"/>
        </w:rPr>
      </w:pPr>
      <w:r w:rsidRPr="00A03389">
        <w:rPr>
          <w:rFonts w:ascii="Cambria" w:eastAsia="Times New Roman" w:hAnsi="Cambria" w:cstheme="minorHAnsi"/>
          <w:noProof/>
          <w:sz w:val="24"/>
          <w:szCs w:val="24"/>
          <w:lang w:val="es-ES_tradnl" w:eastAsia="fr-FR"/>
        </w:rPr>
        <w:t xml:space="preserve">Para la provisión de </w:t>
      </w:r>
      <w:r w:rsidRPr="00A03389">
        <w:rPr>
          <w:rFonts w:ascii="Cambria" w:eastAsia="Times New Roman" w:hAnsi="Cambria" w:cstheme="minorHAnsi"/>
          <w:b/>
          <w:bCs/>
          <w:noProof/>
          <w:sz w:val="24"/>
          <w:szCs w:val="24"/>
          <w:u w:val="single"/>
          <w:lang w:val="es-ES_tradnl" w:eastAsia="fr-FR"/>
        </w:rPr>
        <w:t>papel de escritorio y cartón (rubro 331)</w:t>
      </w:r>
      <w:r w:rsidRPr="00A03389">
        <w:rPr>
          <w:rFonts w:ascii="Cambria" w:eastAsia="Times New Roman" w:hAnsi="Cambria" w:cstheme="minorHAnsi"/>
          <w:noProof/>
          <w:sz w:val="24"/>
          <w:szCs w:val="24"/>
          <w:lang w:val="es-ES_tradnl" w:eastAsia="fr-FR"/>
        </w:rPr>
        <w:t xml:space="preserve">, se ejecutó el contrato </w:t>
      </w:r>
      <w:r w:rsidRPr="00A03389">
        <w:rPr>
          <w:rFonts w:ascii="Cambria" w:eastAsia="Times New Roman" w:hAnsi="Cambria" w:cstheme="minorHAnsi"/>
          <w:b/>
          <w:bCs/>
          <w:noProof/>
          <w:sz w:val="24"/>
          <w:szCs w:val="24"/>
          <w:lang w:val="es-ES_tradnl" w:eastAsia="fr-FR"/>
        </w:rPr>
        <w:t>ID 452071</w:t>
      </w:r>
      <w:r w:rsidRPr="00A03389">
        <w:rPr>
          <w:rFonts w:ascii="Cambria" w:eastAsia="Times New Roman" w:hAnsi="Cambria" w:cstheme="minorHAnsi"/>
          <w:noProof/>
          <w:sz w:val="24"/>
          <w:szCs w:val="24"/>
          <w:lang w:val="es-ES_tradnl" w:eastAsia="fr-FR"/>
        </w:rPr>
        <w:t xml:space="preserve">, mediante la modalidad de </w:t>
      </w:r>
      <w:r w:rsidRPr="00A03389">
        <w:rPr>
          <w:rFonts w:ascii="Cambria" w:eastAsia="Times New Roman" w:hAnsi="Cambria" w:cstheme="minorHAnsi"/>
          <w:b/>
          <w:bCs/>
          <w:noProof/>
          <w:sz w:val="24"/>
          <w:szCs w:val="24"/>
          <w:lang w:val="es-ES_tradnl" w:eastAsia="fr-FR"/>
        </w:rPr>
        <w:t>Convenio Marco</w:t>
      </w:r>
      <w:r w:rsidRPr="00A03389">
        <w:rPr>
          <w:rFonts w:ascii="Cambria" w:eastAsia="Times New Roman" w:hAnsi="Cambria" w:cstheme="minorHAnsi"/>
          <w:noProof/>
          <w:sz w:val="24"/>
          <w:szCs w:val="24"/>
          <w:lang w:val="es-ES_tradnl" w:eastAsia="fr-FR"/>
        </w:rPr>
        <w:t xml:space="preserve">, por un monto de </w:t>
      </w:r>
      <w:r w:rsidRPr="00A03389">
        <w:rPr>
          <w:rFonts w:ascii="Cambria" w:eastAsia="Times New Roman" w:hAnsi="Cambria" w:cstheme="minorHAnsi"/>
          <w:b/>
          <w:bCs/>
          <w:noProof/>
          <w:sz w:val="24"/>
          <w:szCs w:val="24"/>
          <w:lang w:val="es-ES_tradnl" w:eastAsia="fr-FR"/>
        </w:rPr>
        <w:t>Gs. 3.489.174</w:t>
      </w:r>
      <w:r w:rsidRPr="00A03389">
        <w:rPr>
          <w:rFonts w:ascii="Cambria" w:eastAsia="Times New Roman" w:hAnsi="Cambria" w:cstheme="minorHAnsi"/>
          <w:noProof/>
          <w:sz w:val="24"/>
          <w:szCs w:val="24"/>
          <w:lang w:val="es-ES_tradnl" w:eastAsia="fr-FR"/>
        </w:rPr>
        <w:t>, en estado de ejecución.</w:t>
      </w:r>
    </w:p>
    <w:p w:rsidR="00A03389" w:rsidRPr="00A03389" w:rsidRDefault="00A03389" w:rsidP="00A03389">
      <w:pPr>
        <w:jc w:val="both"/>
        <w:rPr>
          <w:rFonts w:ascii="Cambria" w:eastAsia="Times New Roman" w:hAnsi="Cambria" w:cstheme="minorHAnsi"/>
          <w:noProof/>
          <w:sz w:val="24"/>
          <w:szCs w:val="24"/>
          <w:lang w:val="es-ES_tradnl" w:eastAsia="fr-FR"/>
        </w:rPr>
      </w:pPr>
      <w:r w:rsidRPr="00A03389">
        <w:rPr>
          <w:rFonts w:ascii="Cambria" w:eastAsia="Times New Roman" w:hAnsi="Cambria" w:cstheme="minorHAnsi"/>
          <w:noProof/>
          <w:sz w:val="24"/>
          <w:szCs w:val="24"/>
          <w:lang w:val="es-ES_tradnl" w:eastAsia="fr-FR"/>
        </w:rPr>
        <w:t xml:space="preserve">En relación con la </w:t>
      </w:r>
      <w:r w:rsidRPr="00A03389">
        <w:rPr>
          <w:rFonts w:ascii="Cambria" w:eastAsia="Times New Roman" w:hAnsi="Cambria" w:cstheme="minorHAnsi"/>
          <w:b/>
          <w:bCs/>
          <w:noProof/>
          <w:sz w:val="24"/>
          <w:szCs w:val="24"/>
          <w:u w:val="single"/>
          <w:lang w:val="es-ES_tradnl" w:eastAsia="fr-FR"/>
        </w:rPr>
        <w:t>adquisición de elementos de limpieza (rubro 341)</w:t>
      </w:r>
      <w:r w:rsidRPr="00A03389">
        <w:rPr>
          <w:rFonts w:ascii="Cambria" w:eastAsia="Times New Roman" w:hAnsi="Cambria" w:cstheme="minorHAnsi"/>
          <w:noProof/>
          <w:sz w:val="24"/>
          <w:szCs w:val="24"/>
          <w:lang w:val="es-ES_tradnl" w:eastAsia="fr-FR"/>
        </w:rPr>
        <w:t xml:space="preserve">, se ejecutaron los contratos </w:t>
      </w:r>
      <w:r w:rsidRPr="00A03389">
        <w:rPr>
          <w:rFonts w:ascii="Cambria" w:eastAsia="Times New Roman" w:hAnsi="Cambria" w:cstheme="minorHAnsi"/>
          <w:b/>
          <w:bCs/>
          <w:noProof/>
          <w:sz w:val="24"/>
          <w:szCs w:val="24"/>
          <w:lang w:val="es-ES_tradnl" w:eastAsia="fr-FR"/>
        </w:rPr>
        <w:t>ID 373824</w:t>
      </w:r>
      <w:r w:rsidRPr="00A03389">
        <w:rPr>
          <w:rFonts w:ascii="Cambria" w:eastAsia="Times New Roman" w:hAnsi="Cambria" w:cstheme="minorHAnsi"/>
          <w:noProof/>
          <w:sz w:val="24"/>
          <w:szCs w:val="24"/>
          <w:lang w:val="es-ES_tradnl" w:eastAsia="fr-FR"/>
        </w:rPr>
        <w:t xml:space="preserve"> y </w:t>
      </w:r>
      <w:r w:rsidRPr="00A03389">
        <w:rPr>
          <w:rFonts w:ascii="Cambria" w:eastAsia="Times New Roman" w:hAnsi="Cambria" w:cstheme="minorHAnsi"/>
          <w:b/>
          <w:bCs/>
          <w:noProof/>
          <w:sz w:val="24"/>
          <w:szCs w:val="24"/>
          <w:lang w:val="es-ES_tradnl" w:eastAsia="fr-FR"/>
        </w:rPr>
        <w:t>422114</w:t>
      </w:r>
      <w:r w:rsidRPr="00A03389">
        <w:rPr>
          <w:rFonts w:ascii="Cambria" w:eastAsia="Times New Roman" w:hAnsi="Cambria" w:cstheme="minorHAnsi"/>
          <w:noProof/>
          <w:sz w:val="24"/>
          <w:szCs w:val="24"/>
          <w:lang w:val="es-ES_tradnl" w:eastAsia="fr-FR"/>
        </w:rPr>
        <w:t xml:space="preserve">, ambos bajo la modalidad de </w:t>
      </w:r>
      <w:r w:rsidRPr="00A03389">
        <w:rPr>
          <w:rFonts w:ascii="Cambria" w:eastAsia="Times New Roman" w:hAnsi="Cambria" w:cstheme="minorHAnsi"/>
          <w:b/>
          <w:bCs/>
          <w:noProof/>
          <w:sz w:val="24"/>
          <w:szCs w:val="24"/>
          <w:lang w:val="es-ES_tradnl" w:eastAsia="fr-FR"/>
        </w:rPr>
        <w:t>Convenio Marco</w:t>
      </w:r>
      <w:r w:rsidRPr="00A03389">
        <w:rPr>
          <w:rFonts w:ascii="Cambria" w:eastAsia="Times New Roman" w:hAnsi="Cambria" w:cstheme="minorHAnsi"/>
          <w:noProof/>
          <w:sz w:val="24"/>
          <w:szCs w:val="24"/>
          <w:lang w:val="es-ES_tradnl" w:eastAsia="fr-FR"/>
        </w:rPr>
        <w:t xml:space="preserve">, por los montos de </w:t>
      </w:r>
      <w:r w:rsidRPr="00A03389">
        <w:rPr>
          <w:rFonts w:ascii="Cambria" w:eastAsia="Times New Roman" w:hAnsi="Cambria" w:cstheme="minorHAnsi"/>
          <w:b/>
          <w:bCs/>
          <w:noProof/>
          <w:sz w:val="24"/>
          <w:szCs w:val="24"/>
          <w:lang w:val="es-ES_tradnl" w:eastAsia="fr-FR"/>
        </w:rPr>
        <w:t>Gs. 8.784.610</w:t>
      </w:r>
      <w:r w:rsidRPr="00A03389">
        <w:rPr>
          <w:rFonts w:ascii="Cambria" w:eastAsia="Times New Roman" w:hAnsi="Cambria" w:cstheme="minorHAnsi"/>
          <w:noProof/>
          <w:sz w:val="24"/>
          <w:szCs w:val="24"/>
          <w:lang w:val="es-ES_tradnl" w:eastAsia="fr-FR"/>
        </w:rPr>
        <w:t xml:space="preserve"> y </w:t>
      </w:r>
      <w:r w:rsidRPr="00A03389">
        <w:rPr>
          <w:rFonts w:ascii="Cambria" w:eastAsia="Times New Roman" w:hAnsi="Cambria" w:cstheme="minorHAnsi"/>
          <w:b/>
          <w:bCs/>
          <w:noProof/>
          <w:sz w:val="24"/>
          <w:szCs w:val="24"/>
          <w:lang w:val="es-ES_tradnl" w:eastAsia="fr-FR"/>
        </w:rPr>
        <w:t>Gs. 2.789.000</w:t>
      </w:r>
      <w:r w:rsidRPr="00A03389">
        <w:rPr>
          <w:rFonts w:ascii="Cambria" w:eastAsia="Times New Roman" w:hAnsi="Cambria" w:cstheme="minorHAnsi"/>
          <w:noProof/>
          <w:sz w:val="24"/>
          <w:szCs w:val="24"/>
          <w:lang w:val="es-ES_tradnl" w:eastAsia="fr-FR"/>
        </w:rPr>
        <w:t>, respectivamente, encontrándose en ejecución durante el ejercicio fiscal 2025.</w:t>
      </w:r>
    </w:p>
    <w:p w:rsidR="00A03389" w:rsidRPr="00A03389" w:rsidRDefault="00A03389" w:rsidP="00A03389">
      <w:pPr>
        <w:jc w:val="both"/>
        <w:rPr>
          <w:rFonts w:ascii="Cambria" w:eastAsia="Times New Roman" w:hAnsi="Cambria" w:cstheme="minorHAnsi"/>
          <w:noProof/>
          <w:sz w:val="24"/>
          <w:szCs w:val="24"/>
          <w:lang w:val="es-ES_tradnl" w:eastAsia="fr-FR"/>
        </w:rPr>
      </w:pPr>
      <w:r w:rsidRPr="00A03389">
        <w:rPr>
          <w:rFonts w:ascii="Cambria" w:eastAsia="Times New Roman" w:hAnsi="Cambria" w:cstheme="minorHAnsi"/>
          <w:noProof/>
          <w:sz w:val="24"/>
          <w:szCs w:val="24"/>
          <w:lang w:val="es-ES_tradnl" w:eastAsia="fr-FR"/>
        </w:rPr>
        <w:t xml:space="preserve">Asimismo, para la </w:t>
      </w:r>
      <w:r w:rsidRPr="00A03389">
        <w:rPr>
          <w:rFonts w:ascii="Cambria" w:eastAsia="Times New Roman" w:hAnsi="Cambria" w:cstheme="minorHAnsi"/>
          <w:b/>
          <w:bCs/>
          <w:noProof/>
          <w:sz w:val="24"/>
          <w:szCs w:val="24"/>
          <w:u w:val="single"/>
          <w:lang w:val="es-ES_tradnl" w:eastAsia="fr-FR"/>
        </w:rPr>
        <w:t>adquisición de útiles de oficina (rubro 342)</w:t>
      </w:r>
      <w:r w:rsidRPr="00A03389">
        <w:rPr>
          <w:rFonts w:ascii="Cambria" w:eastAsia="Times New Roman" w:hAnsi="Cambria" w:cstheme="minorHAnsi"/>
          <w:noProof/>
          <w:sz w:val="24"/>
          <w:szCs w:val="24"/>
          <w:lang w:val="es-ES_tradnl" w:eastAsia="fr-FR"/>
        </w:rPr>
        <w:t xml:space="preserve">, se ejecutaron los contratos </w:t>
      </w:r>
      <w:r w:rsidRPr="00A03389">
        <w:rPr>
          <w:rFonts w:ascii="Cambria" w:eastAsia="Times New Roman" w:hAnsi="Cambria" w:cstheme="minorHAnsi"/>
          <w:b/>
          <w:bCs/>
          <w:noProof/>
          <w:sz w:val="24"/>
          <w:szCs w:val="24"/>
          <w:lang w:val="es-ES_tradnl" w:eastAsia="fr-FR"/>
        </w:rPr>
        <w:t>ID 373491</w:t>
      </w:r>
      <w:r w:rsidRPr="00A03389">
        <w:rPr>
          <w:rFonts w:ascii="Cambria" w:eastAsia="Times New Roman" w:hAnsi="Cambria" w:cstheme="minorHAnsi"/>
          <w:noProof/>
          <w:sz w:val="24"/>
          <w:szCs w:val="24"/>
          <w:lang w:val="es-ES_tradnl" w:eastAsia="fr-FR"/>
        </w:rPr>
        <w:t xml:space="preserve"> y </w:t>
      </w:r>
      <w:r w:rsidRPr="00A03389">
        <w:rPr>
          <w:rFonts w:ascii="Cambria" w:eastAsia="Times New Roman" w:hAnsi="Cambria" w:cstheme="minorHAnsi"/>
          <w:b/>
          <w:bCs/>
          <w:noProof/>
          <w:sz w:val="24"/>
          <w:szCs w:val="24"/>
          <w:lang w:val="es-ES_tradnl" w:eastAsia="fr-FR"/>
        </w:rPr>
        <w:t>422116</w:t>
      </w:r>
      <w:r w:rsidRPr="00A03389">
        <w:rPr>
          <w:rFonts w:ascii="Cambria" w:eastAsia="Times New Roman" w:hAnsi="Cambria" w:cstheme="minorHAnsi"/>
          <w:noProof/>
          <w:sz w:val="24"/>
          <w:szCs w:val="24"/>
          <w:lang w:val="es-ES_tradnl" w:eastAsia="fr-FR"/>
        </w:rPr>
        <w:t xml:space="preserve">, por los montos de Gs. </w:t>
      </w:r>
      <w:r w:rsidRPr="00A03389">
        <w:rPr>
          <w:rFonts w:ascii="Cambria" w:eastAsia="Times New Roman" w:hAnsi="Cambria" w:cstheme="minorHAnsi"/>
          <w:b/>
          <w:bCs/>
          <w:noProof/>
          <w:sz w:val="24"/>
          <w:szCs w:val="24"/>
          <w:lang w:val="es-ES_tradnl" w:eastAsia="fr-FR"/>
        </w:rPr>
        <w:t>19.521.675</w:t>
      </w:r>
      <w:r w:rsidRPr="00A03389">
        <w:rPr>
          <w:rFonts w:ascii="Cambria" w:eastAsia="Times New Roman" w:hAnsi="Cambria" w:cstheme="minorHAnsi"/>
          <w:noProof/>
          <w:sz w:val="24"/>
          <w:szCs w:val="24"/>
          <w:lang w:val="es-ES_tradnl" w:eastAsia="fr-FR"/>
        </w:rPr>
        <w:t xml:space="preserve"> y </w:t>
      </w:r>
      <w:r w:rsidRPr="00A03389">
        <w:rPr>
          <w:rFonts w:ascii="Cambria" w:eastAsia="Times New Roman" w:hAnsi="Cambria" w:cstheme="minorHAnsi"/>
          <w:b/>
          <w:bCs/>
          <w:noProof/>
          <w:sz w:val="24"/>
          <w:szCs w:val="24"/>
          <w:lang w:val="es-ES_tradnl" w:eastAsia="fr-FR"/>
        </w:rPr>
        <w:t>Gs. 2.918.300</w:t>
      </w:r>
      <w:r w:rsidRPr="00A03389">
        <w:rPr>
          <w:rFonts w:ascii="Cambria" w:eastAsia="Times New Roman" w:hAnsi="Cambria" w:cstheme="minorHAnsi"/>
          <w:noProof/>
          <w:sz w:val="24"/>
          <w:szCs w:val="24"/>
          <w:lang w:val="es-ES_tradnl" w:eastAsia="fr-FR"/>
        </w:rPr>
        <w:t xml:space="preserve">, respectivamente, ambos mediante </w:t>
      </w:r>
      <w:r w:rsidRPr="00A03389">
        <w:rPr>
          <w:rFonts w:ascii="Cambria" w:eastAsia="Times New Roman" w:hAnsi="Cambria" w:cstheme="minorHAnsi"/>
          <w:b/>
          <w:bCs/>
          <w:noProof/>
          <w:sz w:val="24"/>
          <w:szCs w:val="24"/>
          <w:lang w:val="es-ES_tradnl" w:eastAsia="fr-FR"/>
        </w:rPr>
        <w:t>Convenio Marco</w:t>
      </w:r>
      <w:r w:rsidRPr="00A03389">
        <w:rPr>
          <w:rFonts w:ascii="Cambria" w:eastAsia="Times New Roman" w:hAnsi="Cambria" w:cstheme="minorHAnsi"/>
          <w:noProof/>
          <w:sz w:val="24"/>
          <w:szCs w:val="24"/>
          <w:lang w:val="es-ES_tradnl" w:eastAsia="fr-FR"/>
        </w:rPr>
        <w:t>, encontrándose en estado de ejecución.</w:t>
      </w:r>
    </w:p>
    <w:p w:rsidR="00A03389" w:rsidRPr="00A03389" w:rsidRDefault="00A03389" w:rsidP="00A03389">
      <w:pPr>
        <w:jc w:val="both"/>
        <w:rPr>
          <w:rFonts w:ascii="Cambria" w:eastAsia="Times New Roman" w:hAnsi="Cambria" w:cstheme="minorHAnsi"/>
          <w:noProof/>
          <w:sz w:val="24"/>
          <w:szCs w:val="24"/>
          <w:lang w:val="es-ES_tradnl" w:eastAsia="fr-FR"/>
        </w:rPr>
      </w:pPr>
      <w:r w:rsidRPr="00A03389">
        <w:rPr>
          <w:rFonts w:ascii="Cambria" w:eastAsia="Times New Roman" w:hAnsi="Cambria" w:cstheme="minorHAnsi"/>
          <w:noProof/>
          <w:sz w:val="24"/>
          <w:szCs w:val="24"/>
          <w:lang w:val="es-ES_tradnl" w:eastAsia="fr-FR"/>
        </w:rPr>
        <w:t xml:space="preserve">En cuanto a </w:t>
      </w:r>
      <w:r w:rsidRPr="00A03389">
        <w:rPr>
          <w:rFonts w:ascii="Cambria" w:eastAsia="Times New Roman" w:hAnsi="Cambria" w:cstheme="minorHAnsi"/>
          <w:b/>
          <w:bCs/>
          <w:noProof/>
          <w:sz w:val="24"/>
          <w:szCs w:val="24"/>
          <w:u w:val="single"/>
          <w:lang w:val="es-ES_tradnl" w:eastAsia="fr-FR"/>
        </w:rPr>
        <w:t>repuestos y accesorios menores (rubro 346)</w:t>
      </w:r>
      <w:r w:rsidRPr="00A03389">
        <w:rPr>
          <w:rFonts w:ascii="Cambria" w:eastAsia="Times New Roman" w:hAnsi="Cambria" w:cstheme="minorHAnsi"/>
          <w:noProof/>
          <w:sz w:val="24"/>
          <w:szCs w:val="24"/>
          <w:lang w:val="es-ES_tradnl" w:eastAsia="fr-FR"/>
        </w:rPr>
        <w:t xml:space="preserve">, se ejecutaron contrataciones identificadas con el </w:t>
      </w:r>
      <w:r w:rsidRPr="00A03389">
        <w:rPr>
          <w:rFonts w:ascii="Cambria" w:eastAsia="Times New Roman" w:hAnsi="Cambria" w:cstheme="minorHAnsi"/>
          <w:b/>
          <w:bCs/>
          <w:noProof/>
          <w:sz w:val="24"/>
          <w:szCs w:val="24"/>
          <w:lang w:val="es-ES_tradnl" w:eastAsia="fr-FR"/>
        </w:rPr>
        <w:t>ID 419665</w:t>
      </w:r>
      <w:r w:rsidRPr="00A03389">
        <w:rPr>
          <w:rFonts w:ascii="Cambria" w:eastAsia="Times New Roman" w:hAnsi="Cambria" w:cstheme="minorHAnsi"/>
          <w:noProof/>
          <w:sz w:val="24"/>
          <w:szCs w:val="24"/>
          <w:lang w:val="es-ES_tradnl" w:eastAsia="fr-FR"/>
        </w:rPr>
        <w:t xml:space="preserve">, por los montos de </w:t>
      </w:r>
      <w:r w:rsidRPr="00A03389">
        <w:rPr>
          <w:rFonts w:ascii="Cambria" w:eastAsia="Times New Roman" w:hAnsi="Cambria" w:cstheme="minorHAnsi"/>
          <w:b/>
          <w:bCs/>
          <w:noProof/>
          <w:sz w:val="24"/>
          <w:szCs w:val="24"/>
          <w:lang w:val="es-ES_tradnl" w:eastAsia="fr-FR"/>
        </w:rPr>
        <w:t>Gs. 1.240.500</w:t>
      </w:r>
      <w:r w:rsidRPr="00A03389">
        <w:rPr>
          <w:rFonts w:ascii="Cambria" w:eastAsia="Times New Roman" w:hAnsi="Cambria" w:cstheme="minorHAnsi"/>
          <w:noProof/>
          <w:sz w:val="24"/>
          <w:szCs w:val="24"/>
          <w:lang w:val="es-ES_tradnl" w:eastAsia="fr-FR"/>
        </w:rPr>
        <w:t xml:space="preserve"> y </w:t>
      </w:r>
      <w:r w:rsidRPr="00A03389">
        <w:rPr>
          <w:rFonts w:ascii="Cambria" w:eastAsia="Times New Roman" w:hAnsi="Cambria" w:cstheme="minorHAnsi"/>
          <w:b/>
          <w:bCs/>
          <w:noProof/>
          <w:sz w:val="24"/>
          <w:szCs w:val="24"/>
          <w:lang w:val="es-ES_tradnl" w:eastAsia="fr-FR"/>
        </w:rPr>
        <w:t>Gs. 3.690.000</w:t>
      </w:r>
      <w:r w:rsidRPr="00A03389">
        <w:rPr>
          <w:rFonts w:ascii="Cambria" w:eastAsia="Times New Roman" w:hAnsi="Cambria" w:cstheme="minorHAnsi"/>
          <w:noProof/>
          <w:sz w:val="24"/>
          <w:szCs w:val="24"/>
          <w:lang w:val="es-ES_tradnl" w:eastAsia="fr-FR"/>
        </w:rPr>
        <w:t xml:space="preserve">, mediante </w:t>
      </w:r>
      <w:r w:rsidRPr="00A03389">
        <w:rPr>
          <w:rFonts w:ascii="Cambria" w:eastAsia="Times New Roman" w:hAnsi="Cambria" w:cstheme="minorHAnsi"/>
          <w:b/>
          <w:bCs/>
          <w:noProof/>
          <w:sz w:val="24"/>
          <w:szCs w:val="24"/>
          <w:lang w:val="es-ES_tradnl" w:eastAsia="fr-FR"/>
        </w:rPr>
        <w:t>Convenio Marco</w:t>
      </w:r>
      <w:r w:rsidRPr="00A03389">
        <w:rPr>
          <w:rFonts w:ascii="Cambria" w:eastAsia="Times New Roman" w:hAnsi="Cambria" w:cstheme="minorHAnsi"/>
          <w:noProof/>
          <w:sz w:val="24"/>
          <w:szCs w:val="24"/>
          <w:lang w:val="es-ES_tradnl" w:eastAsia="fr-FR"/>
        </w:rPr>
        <w:t>, en estado de ejecución.</w:t>
      </w:r>
    </w:p>
    <w:p w:rsidR="00A03389" w:rsidRPr="00A03389" w:rsidRDefault="00A03389" w:rsidP="00A03389">
      <w:pPr>
        <w:jc w:val="both"/>
        <w:rPr>
          <w:rFonts w:ascii="Cambria" w:eastAsia="Times New Roman" w:hAnsi="Cambria" w:cstheme="minorHAnsi"/>
          <w:noProof/>
          <w:sz w:val="24"/>
          <w:szCs w:val="24"/>
          <w:lang w:val="es-ES_tradnl" w:eastAsia="fr-FR"/>
        </w:rPr>
      </w:pPr>
      <w:r w:rsidRPr="00A03389">
        <w:rPr>
          <w:rFonts w:ascii="Cambria" w:eastAsia="Times New Roman" w:hAnsi="Cambria" w:cstheme="minorHAnsi"/>
          <w:noProof/>
          <w:sz w:val="24"/>
          <w:szCs w:val="24"/>
          <w:lang w:val="es-ES_tradnl" w:eastAsia="fr-FR"/>
        </w:rPr>
        <w:t xml:space="preserve">Respecto a las </w:t>
      </w:r>
      <w:r w:rsidRPr="00A03389">
        <w:rPr>
          <w:rFonts w:ascii="Cambria" w:eastAsia="Times New Roman" w:hAnsi="Cambria" w:cstheme="minorHAnsi"/>
          <w:b/>
          <w:bCs/>
          <w:noProof/>
          <w:sz w:val="24"/>
          <w:szCs w:val="24"/>
          <w:u w:val="single"/>
          <w:lang w:val="es-ES_tradnl" w:eastAsia="fr-FR"/>
        </w:rPr>
        <w:t>contrataciones excluidas de la DNCP</w:t>
      </w:r>
      <w:r w:rsidRPr="00A03389">
        <w:rPr>
          <w:rFonts w:ascii="Cambria" w:eastAsia="Times New Roman" w:hAnsi="Cambria" w:cstheme="minorHAnsi"/>
          <w:noProof/>
          <w:sz w:val="24"/>
          <w:szCs w:val="24"/>
          <w:lang w:val="es-ES_tradnl" w:eastAsia="fr-FR"/>
        </w:rPr>
        <w:t xml:space="preserve">, se ejecutaron procesos aprobados mediante Resolución S.G. N.º 308/2024 y Resolución S.G. N.º 476/2025, financiados con recursos del </w:t>
      </w:r>
      <w:r w:rsidRPr="00A03389">
        <w:rPr>
          <w:rFonts w:ascii="Cambria" w:eastAsia="Times New Roman" w:hAnsi="Cambria" w:cstheme="minorHAnsi"/>
          <w:b/>
          <w:bCs/>
          <w:noProof/>
          <w:sz w:val="24"/>
          <w:szCs w:val="24"/>
          <w:lang w:val="es-ES_tradnl" w:eastAsia="fr-FR"/>
        </w:rPr>
        <w:t>OPS/OMS – Fondo Estratégico</w:t>
      </w:r>
      <w:r w:rsidRPr="00A03389">
        <w:rPr>
          <w:rFonts w:ascii="Cambria" w:eastAsia="Times New Roman" w:hAnsi="Cambria" w:cstheme="minorHAnsi"/>
          <w:noProof/>
          <w:sz w:val="24"/>
          <w:szCs w:val="24"/>
          <w:lang w:val="es-ES_tradnl" w:eastAsia="fr-FR"/>
        </w:rPr>
        <w:t xml:space="preserve">, por los montos de </w:t>
      </w:r>
      <w:r w:rsidRPr="00A03389">
        <w:rPr>
          <w:rFonts w:ascii="Cambria" w:eastAsia="Times New Roman" w:hAnsi="Cambria" w:cstheme="minorHAnsi"/>
          <w:b/>
          <w:bCs/>
          <w:noProof/>
          <w:sz w:val="24"/>
          <w:szCs w:val="24"/>
          <w:lang w:val="es-ES_tradnl" w:eastAsia="fr-FR"/>
        </w:rPr>
        <w:t>Gs. 11.783.010.806</w:t>
      </w:r>
      <w:r w:rsidRPr="00A03389">
        <w:rPr>
          <w:rFonts w:ascii="Cambria" w:eastAsia="Times New Roman" w:hAnsi="Cambria" w:cstheme="minorHAnsi"/>
          <w:noProof/>
          <w:sz w:val="24"/>
          <w:szCs w:val="24"/>
          <w:lang w:val="es-ES_tradnl" w:eastAsia="fr-FR"/>
        </w:rPr>
        <w:t xml:space="preserve"> y </w:t>
      </w:r>
      <w:r w:rsidRPr="00A03389">
        <w:rPr>
          <w:rFonts w:ascii="Cambria" w:eastAsia="Times New Roman" w:hAnsi="Cambria" w:cstheme="minorHAnsi"/>
          <w:b/>
          <w:bCs/>
          <w:noProof/>
          <w:sz w:val="24"/>
          <w:szCs w:val="24"/>
          <w:lang w:val="es-ES_tradnl" w:eastAsia="fr-FR"/>
        </w:rPr>
        <w:t>Gs. 11.563.973.913</w:t>
      </w:r>
      <w:r w:rsidRPr="00A03389">
        <w:rPr>
          <w:rFonts w:ascii="Cambria" w:eastAsia="Times New Roman" w:hAnsi="Cambria" w:cstheme="minorHAnsi"/>
          <w:noProof/>
          <w:sz w:val="24"/>
          <w:szCs w:val="24"/>
          <w:lang w:val="es-ES_tradnl" w:eastAsia="fr-FR"/>
        </w:rPr>
        <w:t>, respectivamente, compras de medicamentos ARV 2025 y 2026/2027, encontrándose ambos en ejecución durante el ejercicio fiscal 2025.</w:t>
      </w:r>
    </w:p>
    <w:p w:rsidR="00A03389" w:rsidRPr="00A03389" w:rsidRDefault="00A03389" w:rsidP="00A03389">
      <w:pPr>
        <w:jc w:val="both"/>
        <w:rPr>
          <w:rFonts w:ascii="Cambria" w:eastAsia="Times New Roman" w:hAnsi="Cambria" w:cstheme="minorHAnsi"/>
          <w:noProof/>
          <w:sz w:val="24"/>
          <w:szCs w:val="24"/>
          <w:lang w:val="es-ES_tradnl" w:eastAsia="fr-FR"/>
        </w:rPr>
      </w:pPr>
      <w:r w:rsidRPr="00A03389">
        <w:rPr>
          <w:rFonts w:ascii="Cambria" w:eastAsia="Times New Roman" w:hAnsi="Cambria" w:cstheme="minorHAnsi"/>
          <w:noProof/>
          <w:sz w:val="24"/>
          <w:szCs w:val="24"/>
          <w:lang w:val="es-ES_tradnl" w:eastAsia="fr-FR"/>
        </w:rPr>
        <w:t xml:space="preserve">En el </w:t>
      </w:r>
      <w:r w:rsidRPr="00A03389">
        <w:rPr>
          <w:rFonts w:ascii="Cambria" w:eastAsia="Times New Roman" w:hAnsi="Cambria" w:cstheme="minorHAnsi"/>
          <w:b/>
          <w:bCs/>
          <w:noProof/>
          <w:sz w:val="24"/>
          <w:szCs w:val="24"/>
          <w:u w:val="single"/>
          <w:lang w:val="es-ES_tradnl" w:eastAsia="fr-FR"/>
        </w:rPr>
        <w:t>rubro 352 – Productos farmacéuticos y medicinales</w:t>
      </w:r>
      <w:r w:rsidRPr="00A03389">
        <w:rPr>
          <w:rFonts w:ascii="Cambria" w:eastAsia="Times New Roman" w:hAnsi="Cambria" w:cstheme="minorHAnsi"/>
          <w:noProof/>
          <w:sz w:val="24"/>
          <w:szCs w:val="24"/>
          <w:lang w:val="es-ES_tradnl" w:eastAsia="fr-FR"/>
        </w:rPr>
        <w:t xml:space="preserve">, compra de </w:t>
      </w:r>
      <w:r w:rsidRPr="00A03389">
        <w:rPr>
          <w:rFonts w:ascii="Cambria" w:eastAsia="Times New Roman" w:hAnsi="Cambria" w:cstheme="minorHAnsi"/>
          <w:b/>
          <w:bCs/>
          <w:noProof/>
          <w:sz w:val="24"/>
          <w:szCs w:val="24"/>
          <w:lang w:val="es-ES_tradnl" w:eastAsia="fr-FR"/>
        </w:rPr>
        <w:t>Formulas Lácteas de Inicio</w:t>
      </w:r>
      <w:r w:rsidRPr="00A03389">
        <w:rPr>
          <w:rFonts w:ascii="Cambria" w:eastAsia="Times New Roman" w:hAnsi="Cambria" w:cstheme="minorHAnsi"/>
          <w:noProof/>
          <w:sz w:val="24"/>
          <w:szCs w:val="24"/>
          <w:lang w:val="es-ES_tradnl" w:eastAsia="fr-FR"/>
        </w:rPr>
        <w:t xml:space="preserve">, se ejecutó la </w:t>
      </w:r>
      <w:r w:rsidRPr="00A03389">
        <w:rPr>
          <w:rFonts w:ascii="Cambria" w:eastAsia="Times New Roman" w:hAnsi="Cambria" w:cstheme="minorHAnsi"/>
          <w:b/>
          <w:bCs/>
          <w:noProof/>
          <w:sz w:val="24"/>
          <w:szCs w:val="24"/>
          <w:u w:val="single"/>
          <w:lang w:val="es-ES_tradnl" w:eastAsia="fr-FR"/>
        </w:rPr>
        <w:t>Licitación Pública Nacional N.º 43/2025</w:t>
      </w:r>
      <w:r w:rsidRPr="00A03389">
        <w:rPr>
          <w:rFonts w:ascii="Cambria" w:eastAsia="Times New Roman" w:hAnsi="Cambria" w:cstheme="minorHAnsi"/>
          <w:noProof/>
          <w:sz w:val="24"/>
          <w:szCs w:val="24"/>
          <w:lang w:val="es-ES_tradnl" w:eastAsia="fr-FR"/>
        </w:rPr>
        <w:t xml:space="preserve">, identificada con </w:t>
      </w:r>
      <w:r w:rsidRPr="00A03389">
        <w:rPr>
          <w:rFonts w:ascii="Cambria" w:eastAsia="Times New Roman" w:hAnsi="Cambria" w:cstheme="minorHAnsi"/>
          <w:b/>
          <w:bCs/>
          <w:noProof/>
          <w:sz w:val="24"/>
          <w:szCs w:val="24"/>
          <w:lang w:val="es-ES_tradnl" w:eastAsia="fr-FR"/>
        </w:rPr>
        <w:t>ID 459989</w:t>
      </w:r>
      <w:r w:rsidRPr="00A03389">
        <w:rPr>
          <w:rFonts w:ascii="Cambria" w:eastAsia="Times New Roman" w:hAnsi="Cambria" w:cstheme="minorHAnsi"/>
          <w:noProof/>
          <w:sz w:val="24"/>
          <w:szCs w:val="24"/>
          <w:lang w:val="es-ES_tradnl" w:eastAsia="fr-FR"/>
        </w:rPr>
        <w:t xml:space="preserve">, por un monto de </w:t>
      </w:r>
      <w:r w:rsidRPr="00A03389">
        <w:rPr>
          <w:rFonts w:ascii="Cambria" w:eastAsia="Times New Roman" w:hAnsi="Cambria" w:cstheme="minorHAnsi"/>
          <w:b/>
          <w:bCs/>
          <w:noProof/>
          <w:sz w:val="24"/>
          <w:szCs w:val="24"/>
          <w:lang w:val="es-ES_tradnl" w:eastAsia="fr-FR"/>
        </w:rPr>
        <w:t>Gs. 1.520.064.000</w:t>
      </w:r>
      <w:r w:rsidRPr="00A03389">
        <w:rPr>
          <w:rFonts w:ascii="Cambria" w:eastAsia="Times New Roman" w:hAnsi="Cambria" w:cstheme="minorHAnsi"/>
          <w:noProof/>
          <w:sz w:val="24"/>
          <w:szCs w:val="24"/>
          <w:lang w:val="es-ES_tradnl" w:eastAsia="fr-FR"/>
        </w:rPr>
        <w:t>, encontrándose en ejecución durante el ejercicio fiscal 2025.</w:t>
      </w:r>
    </w:p>
    <w:p w:rsidR="00A03389" w:rsidRPr="00A03389" w:rsidRDefault="00A03389" w:rsidP="00A03389">
      <w:pPr>
        <w:jc w:val="both"/>
        <w:rPr>
          <w:rFonts w:ascii="Cambria" w:eastAsia="Times New Roman" w:hAnsi="Cambria" w:cstheme="minorHAnsi"/>
          <w:noProof/>
          <w:sz w:val="24"/>
          <w:szCs w:val="24"/>
          <w:lang w:val="es-ES_tradnl" w:eastAsia="fr-FR"/>
        </w:rPr>
      </w:pPr>
      <w:r w:rsidRPr="00A03389">
        <w:rPr>
          <w:rFonts w:ascii="Cambria" w:eastAsia="Times New Roman" w:hAnsi="Cambria" w:cstheme="minorHAnsi"/>
          <w:noProof/>
          <w:sz w:val="24"/>
          <w:szCs w:val="24"/>
          <w:lang w:val="es-ES_tradnl" w:eastAsia="fr-FR"/>
        </w:rPr>
        <w:t xml:space="preserve">Para la </w:t>
      </w:r>
      <w:r w:rsidRPr="00A03389">
        <w:rPr>
          <w:rFonts w:ascii="Cambria" w:eastAsia="Times New Roman" w:hAnsi="Cambria" w:cstheme="minorHAnsi"/>
          <w:b/>
          <w:bCs/>
          <w:noProof/>
          <w:sz w:val="24"/>
          <w:szCs w:val="24"/>
          <w:lang w:val="es-ES_tradnl" w:eastAsia="fr-FR"/>
        </w:rPr>
        <w:t>adquisición de herramientas menores (rubro 394)</w:t>
      </w:r>
      <w:r w:rsidRPr="00A03389">
        <w:rPr>
          <w:rFonts w:ascii="Cambria" w:eastAsia="Times New Roman" w:hAnsi="Cambria" w:cstheme="minorHAnsi"/>
          <w:noProof/>
          <w:sz w:val="24"/>
          <w:szCs w:val="24"/>
          <w:lang w:val="es-ES_tradnl" w:eastAsia="fr-FR"/>
        </w:rPr>
        <w:t xml:space="preserve">, se ejecutó el contrato </w:t>
      </w:r>
      <w:r w:rsidRPr="00A03389">
        <w:rPr>
          <w:rFonts w:ascii="Cambria" w:eastAsia="Times New Roman" w:hAnsi="Cambria" w:cstheme="minorHAnsi"/>
          <w:b/>
          <w:bCs/>
          <w:noProof/>
          <w:sz w:val="24"/>
          <w:szCs w:val="24"/>
          <w:lang w:val="es-ES_tradnl" w:eastAsia="fr-FR"/>
        </w:rPr>
        <w:t>ID 412997</w:t>
      </w:r>
      <w:r w:rsidRPr="00A03389">
        <w:rPr>
          <w:rFonts w:ascii="Cambria" w:eastAsia="Times New Roman" w:hAnsi="Cambria" w:cstheme="minorHAnsi"/>
          <w:noProof/>
          <w:sz w:val="24"/>
          <w:szCs w:val="24"/>
          <w:lang w:val="es-ES_tradnl" w:eastAsia="fr-FR"/>
        </w:rPr>
        <w:t xml:space="preserve">, mediante </w:t>
      </w:r>
      <w:r w:rsidRPr="00A03389">
        <w:rPr>
          <w:rFonts w:ascii="Cambria" w:eastAsia="Times New Roman" w:hAnsi="Cambria" w:cstheme="minorHAnsi"/>
          <w:b/>
          <w:bCs/>
          <w:noProof/>
          <w:sz w:val="24"/>
          <w:szCs w:val="24"/>
          <w:lang w:val="es-ES_tradnl" w:eastAsia="fr-FR"/>
        </w:rPr>
        <w:t>Convenio Marco</w:t>
      </w:r>
      <w:r w:rsidRPr="00A03389">
        <w:rPr>
          <w:rFonts w:ascii="Cambria" w:eastAsia="Times New Roman" w:hAnsi="Cambria" w:cstheme="minorHAnsi"/>
          <w:noProof/>
          <w:sz w:val="24"/>
          <w:szCs w:val="24"/>
          <w:lang w:val="es-ES_tradnl" w:eastAsia="fr-FR"/>
        </w:rPr>
        <w:t xml:space="preserve">, por un monto de </w:t>
      </w:r>
      <w:r w:rsidRPr="00A03389">
        <w:rPr>
          <w:rFonts w:ascii="Cambria" w:eastAsia="Times New Roman" w:hAnsi="Cambria" w:cstheme="minorHAnsi"/>
          <w:b/>
          <w:bCs/>
          <w:noProof/>
          <w:sz w:val="24"/>
          <w:szCs w:val="24"/>
          <w:lang w:val="es-ES_tradnl" w:eastAsia="fr-FR"/>
        </w:rPr>
        <w:t>Gs. 4.512.600</w:t>
      </w:r>
      <w:r w:rsidRPr="00A03389">
        <w:rPr>
          <w:rFonts w:ascii="Cambria" w:eastAsia="Times New Roman" w:hAnsi="Cambria" w:cstheme="minorHAnsi"/>
          <w:noProof/>
          <w:sz w:val="24"/>
          <w:szCs w:val="24"/>
          <w:lang w:val="es-ES_tradnl" w:eastAsia="fr-FR"/>
        </w:rPr>
        <w:t>, encontrándose en estado de ejecución.</w:t>
      </w:r>
    </w:p>
    <w:p w:rsidR="00A03389" w:rsidRPr="00A03389" w:rsidRDefault="00A03389" w:rsidP="00A03389">
      <w:pPr>
        <w:jc w:val="both"/>
        <w:rPr>
          <w:rFonts w:ascii="Cambria" w:eastAsia="Times New Roman" w:hAnsi="Cambria" w:cstheme="minorHAnsi"/>
          <w:noProof/>
          <w:sz w:val="24"/>
          <w:szCs w:val="24"/>
          <w:lang w:val="es-ES_tradnl" w:eastAsia="fr-FR"/>
        </w:rPr>
      </w:pPr>
      <w:r w:rsidRPr="00A03389">
        <w:rPr>
          <w:rFonts w:ascii="Cambria" w:eastAsia="Times New Roman" w:hAnsi="Cambria" w:cstheme="minorHAnsi"/>
          <w:noProof/>
          <w:sz w:val="24"/>
          <w:szCs w:val="24"/>
          <w:lang w:val="es-ES_tradnl" w:eastAsia="fr-FR"/>
        </w:rPr>
        <w:t xml:space="preserve">En el marco de la </w:t>
      </w:r>
      <w:r w:rsidRPr="00A03389">
        <w:rPr>
          <w:rFonts w:ascii="Cambria" w:eastAsia="Times New Roman" w:hAnsi="Cambria" w:cstheme="minorHAnsi"/>
          <w:b/>
          <w:bCs/>
          <w:noProof/>
          <w:sz w:val="24"/>
          <w:szCs w:val="24"/>
          <w:lang w:val="es-ES_tradnl" w:eastAsia="fr-FR"/>
        </w:rPr>
        <w:t>adquisición de muebles y enseres de oficina (rubro 541)</w:t>
      </w:r>
      <w:r w:rsidRPr="00A03389">
        <w:rPr>
          <w:rFonts w:ascii="Cambria" w:eastAsia="Times New Roman" w:hAnsi="Cambria" w:cstheme="minorHAnsi"/>
          <w:noProof/>
          <w:sz w:val="24"/>
          <w:szCs w:val="24"/>
          <w:lang w:val="es-ES_tradnl" w:eastAsia="fr-FR"/>
        </w:rPr>
        <w:t xml:space="preserve">, se ejecutaron varios contratos bajo la modalidad de </w:t>
      </w:r>
      <w:r w:rsidRPr="00A03389">
        <w:rPr>
          <w:rFonts w:ascii="Cambria" w:eastAsia="Times New Roman" w:hAnsi="Cambria" w:cstheme="minorHAnsi"/>
          <w:b/>
          <w:bCs/>
          <w:noProof/>
          <w:sz w:val="24"/>
          <w:szCs w:val="24"/>
          <w:lang w:val="es-ES_tradnl" w:eastAsia="fr-FR"/>
        </w:rPr>
        <w:t>Convenio Marco</w:t>
      </w:r>
      <w:r w:rsidRPr="00A03389">
        <w:rPr>
          <w:rFonts w:ascii="Cambria" w:eastAsia="Times New Roman" w:hAnsi="Cambria" w:cstheme="minorHAnsi"/>
          <w:noProof/>
          <w:sz w:val="24"/>
          <w:szCs w:val="24"/>
          <w:lang w:val="es-ES_tradnl" w:eastAsia="fr-FR"/>
        </w:rPr>
        <w:t xml:space="preserve">, incluyendo los identificados con </w:t>
      </w:r>
      <w:r w:rsidRPr="00A03389">
        <w:rPr>
          <w:rFonts w:ascii="Cambria" w:eastAsia="Times New Roman" w:hAnsi="Cambria" w:cstheme="minorHAnsi"/>
          <w:b/>
          <w:bCs/>
          <w:noProof/>
          <w:sz w:val="24"/>
          <w:szCs w:val="24"/>
          <w:lang w:val="es-ES_tradnl" w:eastAsia="fr-FR"/>
        </w:rPr>
        <w:t>ID 387663, 397873</w:t>
      </w:r>
      <w:r w:rsidRPr="00A03389">
        <w:rPr>
          <w:rFonts w:ascii="Cambria" w:eastAsia="Times New Roman" w:hAnsi="Cambria" w:cstheme="minorHAnsi"/>
          <w:noProof/>
          <w:sz w:val="24"/>
          <w:szCs w:val="24"/>
          <w:lang w:val="es-ES_tradnl" w:eastAsia="fr-FR"/>
        </w:rPr>
        <w:t xml:space="preserve"> y </w:t>
      </w:r>
      <w:r w:rsidRPr="00A03389">
        <w:rPr>
          <w:rFonts w:ascii="Cambria" w:eastAsia="Times New Roman" w:hAnsi="Cambria" w:cstheme="minorHAnsi"/>
          <w:b/>
          <w:bCs/>
          <w:noProof/>
          <w:sz w:val="24"/>
          <w:szCs w:val="24"/>
          <w:lang w:val="es-ES_tradnl" w:eastAsia="fr-FR"/>
        </w:rPr>
        <w:t>404496</w:t>
      </w:r>
      <w:r w:rsidRPr="00A03389">
        <w:rPr>
          <w:rFonts w:ascii="Cambria" w:eastAsia="Times New Roman" w:hAnsi="Cambria" w:cstheme="minorHAnsi"/>
          <w:noProof/>
          <w:sz w:val="24"/>
          <w:szCs w:val="24"/>
          <w:lang w:val="es-ES_tradnl" w:eastAsia="fr-FR"/>
        </w:rPr>
        <w:t xml:space="preserve">, por montos comprendidos entre </w:t>
      </w:r>
      <w:r w:rsidRPr="00A03389">
        <w:rPr>
          <w:rFonts w:ascii="Cambria" w:eastAsia="Times New Roman" w:hAnsi="Cambria" w:cstheme="minorHAnsi"/>
          <w:b/>
          <w:bCs/>
          <w:noProof/>
          <w:sz w:val="24"/>
          <w:szCs w:val="24"/>
          <w:lang w:val="es-ES_tradnl" w:eastAsia="fr-FR"/>
        </w:rPr>
        <w:t>Gs. 10.833.000</w:t>
      </w:r>
      <w:r w:rsidRPr="00A03389">
        <w:rPr>
          <w:rFonts w:ascii="Cambria" w:eastAsia="Times New Roman" w:hAnsi="Cambria" w:cstheme="minorHAnsi"/>
          <w:noProof/>
          <w:sz w:val="24"/>
          <w:szCs w:val="24"/>
          <w:lang w:val="es-ES_tradnl" w:eastAsia="fr-FR"/>
        </w:rPr>
        <w:t xml:space="preserve"> y Gs. </w:t>
      </w:r>
      <w:r w:rsidRPr="00A03389">
        <w:rPr>
          <w:rFonts w:ascii="Cambria" w:eastAsia="Times New Roman" w:hAnsi="Cambria" w:cstheme="minorHAnsi"/>
          <w:b/>
          <w:bCs/>
          <w:noProof/>
          <w:sz w:val="24"/>
          <w:szCs w:val="24"/>
          <w:lang w:val="es-ES_tradnl" w:eastAsia="fr-FR"/>
        </w:rPr>
        <w:t>108.745.750</w:t>
      </w:r>
      <w:r w:rsidRPr="00A03389">
        <w:rPr>
          <w:rFonts w:ascii="Cambria" w:eastAsia="Times New Roman" w:hAnsi="Cambria" w:cstheme="minorHAnsi"/>
          <w:noProof/>
          <w:sz w:val="24"/>
          <w:szCs w:val="24"/>
          <w:lang w:val="es-ES_tradnl" w:eastAsia="fr-FR"/>
        </w:rPr>
        <w:t xml:space="preserve">. </w:t>
      </w:r>
    </w:p>
    <w:p w:rsidR="00A03389" w:rsidRDefault="00A03389" w:rsidP="00A03389">
      <w:pPr>
        <w:jc w:val="both"/>
        <w:rPr>
          <w:rFonts w:ascii="Cambria" w:eastAsia="Times New Roman" w:hAnsi="Cambria" w:cstheme="minorHAnsi"/>
          <w:b/>
          <w:bCs/>
          <w:noProof/>
          <w:sz w:val="24"/>
          <w:szCs w:val="24"/>
          <w:u w:val="single"/>
          <w:lang w:val="es-ES_tradnl" w:eastAsia="fr-FR"/>
        </w:rPr>
      </w:pPr>
      <w:r w:rsidRPr="00A03389">
        <w:rPr>
          <w:rFonts w:ascii="Cambria" w:eastAsia="Times New Roman" w:hAnsi="Cambria" w:cstheme="minorHAnsi"/>
          <w:noProof/>
          <w:sz w:val="24"/>
          <w:szCs w:val="24"/>
          <w:lang w:val="es-ES_tradnl" w:eastAsia="fr-FR"/>
        </w:rPr>
        <w:lastRenderedPageBreak/>
        <w:t xml:space="preserve">Finalmente, se ejecutaron contrataciones aprobadas mediante Resoluciones S.G. N.º 292/2022, </w:t>
      </w:r>
      <w:r w:rsidRPr="00A03389">
        <w:rPr>
          <w:rFonts w:ascii="Cambria" w:eastAsia="Times New Roman" w:hAnsi="Cambria" w:cstheme="minorHAnsi"/>
          <w:b/>
          <w:bCs/>
          <w:noProof/>
          <w:sz w:val="24"/>
          <w:szCs w:val="24"/>
          <w:lang w:val="es-ES_tradnl" w:eastAsia="fr-FR"/>
        </w:rPr>
        <w:t>aprobaciones N.º 19 y N.º 28, de la DNERHS/MSPBS</w:t>
      </w:r>
      <w:r w:rsidRPr="00A03389">
        <w:rPr>
          <w:rFonts w:ascii="Cambria" w:eastAsia="Times New Roman" w:hAnsi="Cambria" w:cstheme="minorHAnsi"/>
          <w:noProof/>
          <w:sz w:val="24"/>
          <w:szCs w:val="24"/>
          <w:lang w:val="es-ES_tradnl" w:eastAsia="fr-FR"/>
        </w:rPr>
        <w:t xml:space="preserve"> por los montos de </w:t>
      </w:r>
      <w:r w:rsidRPr="00A03389">
        <w:rPr>
          <w:rFonts w:ascii="Cambria" w:eastAsia="Times New Roman" w:hAnsi="Cambria" w:cstheme="minorHAnsi"/>
          <w:b/>
          <w:bCs/>
          <w:noProof/>
          <w:sz w:val="24"/>
          <w:szCs w:val="24"/>
          <w:lang w:val="es-ES_tradnl" w:eastAsia="fr-FR"/>
        </w:rPr>
        <w:t>Gs. 52.160.000</w:t>
      </w:r>
      <w:r w:rsidRPr="00A03389">
        <w:rPr>
          <w:rFonts w:ascii="Cambria" w:eastAsia="Times New Roman" w:hAnsi="Cambria" w:cstheme="minorHAnsi"/>
          <w:noProof/>
          <w:sz w:val="24"/>
          <w:szCs w:val="24"/>
          <w:lang w:val="es-ES_tradnl" w:eastAsia="fr-FR"/>
        </w:rPr>
        <w:t xml:space="preserve"> (aires acondicionados) y </w:t>
      </w:r>
      <w:r w:rsidRPr="00A03389">
        <w:rPr>
          <w:rFonts w:ascii="Cambria" w:eastAsia="Times New Roman" w:hAnsi="Cambria" w:cstheme="minorHAnsi"/>
          <w:b/>
          <w:bCs/>
          <w:noProof/>
          <w:sz w:val="24"/>
          <w:szCs w:val="24"/>
          <w:lang w:val="es-ES_tradnl" w:eastAsia="fr-FR"/>
        </w:rPr>
        <w:t xml:space="preserve">Gs. 19.815.000 </w:t>
      </w:r>
      <w:r w:rsidRPr="00A03389">
        <w:rPr>
          <w:rFonts w:ascii="Cambria" w:eastAsia="Times New Roman" w:hAnsi="Cambria" w:cstheme="minorHAnsi"/>
          <w:noProof/>
          <w:sz w:val="24"/>
          <w:szCs w:val="24"/>
          <w:lang w:val="es-ES_tradnl" w:eastAsia="fr-FR"/>
        </w:rPr>
        <w:t>(impresoras multifunción), respectivamente, encontrándose todas en estado de ejecución durante el ejercicio fiscal 2025.</w:t>
      </w:r>
    </w:p>
    <w:p w:rsidR="00A03389" w:rsidRDefault="00A03389">
      <w:pPr>
        <w:rPr>
          <w:rFonts w:ascii="Cambria" w:eastAsia="Times New Roman" w:hAnsi="Cambria" w:cstheme="minorHAnsi"/>
          <w:b/>
          <w:bCs/>
          <w:noProof/>
          <w:sz w:val="24"/>
          <w:szCs w:val="24"/>
          <w:u w:val="single"/>
          <w:lang w:val="es-ES_tradnl" w:eastAsia="fr-FR"/>
        </w:rPr>
      </w:pPr>
      <w:r>
        <w:rPr>
          <w:rFonts w:ascii="Cambria" w:eastAsia="Times New Roman" w:hAnsi="Cambria" w:cstheme="minorHAnsi"/>
          <w:b/>
          <w:bCs/>
          <w:noProof/>
          <w:sz w:val="24"/>
          <w:szCs w:val="24"/>
          <w:u w:val="single"/>
          <w:lang w:val="es-ES_tradnl" w:eastAsia="fr-FR"/>
        </w:rPr>
        <w:br w:type="page"/>
      </w:r>
    </w:p>
    <w:p w:rsidR="00A03389" w:rsidRDefault="00A03389">
      <w:pPr>
        <w:rPr>
          <w:rFonts w:ascii="Cambria" w:eastAsia="Times New Roman" w:hAnsi="Cambria" w:cstheme="minorHAnsi"/>
          <w:b/>
          <w:bCs/>
          <w:noProof/>
          <w:sz w:val="24"/>
          <w:szCs w:val="24"/>
          <w:u w:val="single"/>
          <w:lang w:val="es-ES_tradnl" w:eastAsia="fr-FR"/>
        </w:rPr>
      </w:pPr>
      <w:r w:rsidRPr="00335D1F">
        <w:rPr>
          <w:noProof/>
          <w:lang w:val="es-ES" w:eastAsia="es-ES"/>
        </w:rPr>
        <w:lastRenderedPageBreak/>
        <w:drawing>
          <wp:anchor distT="0" distB="0" distL="114300" distR="114300" simplePos="0" relativeHeight="251658240" behindDoc="0" locked="0" layoutInCell="1" allowOverlap="1">
            <wp:simplePos x="0" y="0"/>
            <wp:positionH relativeFrom="column">
              <wp:posOffset>66129</wp:posOffset>
            </wp:positionH>
            <wp:positionV relativeFrom="paragraph">
              <wp:posOffset>697865</wp:posOffset>
            </wp:positionV>
            <wp:extent cx="5219195" cy="6334125"/>
            <wp:effectExtent l="0" t="0" r="635" b="0"/>
            <wp:wrapNone/>
            <wp:docPr id="2703459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4106" cy="6340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eastAsia="Times New Roman" w:hAnsi="Cambria" w:cstheme="minorHAnsi"/>
          <w:b/>
          <w:bCs/>
          <w:noProof/>
          <w:sz w:val="24"/>
          <w:szCs w:val="24"/>
          <w:u w:val="single"/>
          <w:lang w:val="es-ES_tradnl" w:eastAsia="fr-FR"/>
        </w:rPr>
        <w:br w:type="page"/>
      </w:r>
    </w:p>
    <w:p w:rsidR="00A03389" w:rsidRPr="00A03389" w:rsidRDefault="00A03389" w:rsidP="00A03389">
      <w:pPr>
        <w:rPr>
          <w:lang w:val="es-ES"/>
        </w:rPr>
      </w:pPr>
    </w:p>
    <w:p w:rsidR="00287886" w:rsidRPr="00287886" w:rsidRDefault="00287886" w:rsidP="00287886">
      <w:pPr>
        <w:rPr>
          <w:lang w:val="es-ES"/>
        </w:rPr>
      </w:pPr>
    </w:p>
    <w:p w:rsidR="00397CBB" w:rsidRPr="00397CBB" w:rsidRDefault="00103664" w:rsidP="00397CBB">
      <w:pPr>
        <w:rPr>
          <w:lang w:val="es-ES"/>
        </w:rPr>
      </w:pPr>
      <w:r>
        <w:rPr>
          <w:noProof/>
          <w:sz w:val="24"/>
          <w:lang w:val="es-ES" w:eastAsia="es-ES"/>
        </w:rPr>
        <w:drawing>
          <wp:inline distT="0" distB="0" distL="0" distR="0" wp14:anchorId="421BBCEE" wp14:editId="3D2BDDA3">
            <wp:extent cx="6856465" cy="5398363"/>
            <wp:effectExtent l="5080" t="0" r="6985"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6-01-06 at 10.45.00.jpeg"/>
                    <pic:cNvPicPr/>
                  </pic:nvPicPr>
                  <pic:blipFill>
                    <a:blip r:embed="rId9">
                      <a:extLst>
                        <a:ext uri="{28A0092B-C50C-407E-A947-70E740481C1C}">
                          <a14:useLocalDpi xmlns:a14="http://schemas.microsoft.com/office/drawing/2010/main" val="0"/>
                        </a:ext>
                      </a:extLst>
                    </a:blip>
                    <a:stretch>
                      <a:fillRect/>
                    </a:stretch>
                  </pic:blipFill>
                  <pic:spPr>
                    <a:xfrm rot="16200000">
                      <a:off x="0" y="0"/>
                      <a:ext cx="6880563" cy="5417337"/>
                    </a:xfrm>
                    <a:prstGeom prst="rect">
                      <a:avLst/>
                    </a:prstGeom>
                  </pic:spPr>
                </pic:pic>
              </a:graphicData>
            </a:graphic>
          </wp:inline>
        </w:drawing>
      </w:r>
    </w:p>
    <w:p w:rsidR="00D36337" w:rsidRDefault="00D36337">
      <w:pPr>
        <w:rPr>
          <w:rFonts w:asciiTheme="majorHAnsi" w:eastAsiaTheme="majorEastAsia" w:hAnsiTheme="majorHAnsi" w:cstheme="majorBidi"/>
          <w:b/>
          <w:bCs/>
          <w:color w:val="365F91" w:themeColor="accent1" w:themeShade="BF"/>
          <w:sz w:val="28"/>
          <w:szCs w:val="28"/>
          <w:lang w:val="es-ES"/>
        </w:rPr>
      </w:pPr>
      <w:r>
        <w:rPr>
          <w:lang w:val="es-ES"/>
        </w:rPr>
        <w:br w:type="page"/>
      </w:r>
    </w:p>
    <w:p w:rsidR="00D740E1" w:rsidRDefault="00287886" w:rsidP="00A03389">
      <w:pPr>
        <w:pStyle w:val="Ttulo1"/>
        <w:rPr>
          <w:lang w:val="es-ES"/>
        </w:rPr>
      </w:pPr>
      <w:r>
        <w:rPr>
          <w:lang w:val="es-ES"/>
        </w:rPr>
        <w:lastRenderedPageBreak/>
        <w:t>Conclusión</w:t>
      </w:r>
    </w:p>
    <w:p w:rsidR="00287886" w:rsidRDefault="00287886" w:rsidP="00287886">
      <w:pPr>
        <w:rPr>
          <w:lang w:val="es-ES"/>
        </w:rPr>
      </w:pPr>
    </w:p>
    <w:p w:rsidR="00287886" w:rsidRPr="00287886" w:rsidRDefault="00287886" w:rsidP="00287886">
      <w:pPr>
        <w:jc w:val="both"/>
        <w:rPr>
          <w:sz w:val="24"/>
        </w:rPr>
      </w:pPr>
      <w:r w:rsidRPr="00287886">
        <w:rPr>
          <w:sz w:val="24"/>
        </w:rPr>
        <w:t xml:space="preserve">El </w:t>
      </w:r>
      <w:proofErr w:type="spellStart"/>
      <w:r w:rsidRPr="00287886">
        <w:rPr>
          <w:sz w:val="24"/>
        </w:rPr>
        <w:t>Ministerio</w:t>
      </w:r>
      <w:proofErr w:type="spellEnd"/>
      <w:r w:rsidRPr="00287886">
        <w:rPr>
          <w:sz w:val="24"/>
        </w:rPr>
        <w:t xml:space="preserve"> de </w:t>
      </w:r>
      <w:proofErr w:type="spellStart"/>
      <w:r w:rsidRPr="00287886">
        <w:rPr>
          <w:sz w:val="24"/>
        </w:rPr>
        <w:t>Salud</w:t>
      </w:r>
      <w:proofErr w:type="spellEnd"/>
      <w:r w:rsidRPr="00287886">
        <w:rPr>
          <w:sz w:val="24"/>
        </w:rPr>
        <w:t xml:space="preserve">, a </w:t>
      </w:r>
      <w:proofErr w:type="spellStart"/>
      <w:r w:rsidRPr="00287886">
        <w:rPr>
          <w:sz w:val="24"/>
        </w:rPr>
        <w:t>través</w:t>
      </w:r>
      <w:proofErr w:type="spellEnd"/>
      <w:r w:rsidRPr="00287886">
        <w:rPr>
          <w:sz w:val="24"/>
        </w:rPr>
        <w:t xml:space="preserve"> del </w:t>
      </w:r>
      <w:proofErr w:type="spellStart"/>
      <w:r w:rsidRPr="00287886">
        <w:rPr>
          <w:sz w:val="24"/>
        </w:rPr>
        <w:t>Programa</w:t>
      </w:r>
      <w:proofErr w:type="spellEnd"/>
      <w:r w:rsidRPr="00287886">
        <w:rPr>
          <w:sz w:val="24"/>
        </w:rPr>
        <w:t xml:space="preserve"> Nacional de VIH, </w:t>
      </w:r>
      <w:proofErr w:type="spellStart"/>
      <w:r w:rsidRPr="00287886">
        <w:rPr>
          <w:sz w:val="24"/>
        </w:rPr>
        <w:t>presenta</w:t>
      </w:r>
      <w:proofErr w:type="spellEnd"/>
      <w:r w:rsidRPr="00287886">
        <w:rPr>
          <w:sz w:val="24"/>
        </w:rPr>
        <w:t xml:space="preserve"> al </w:t>
      </w:r>
      <w:proofErr w:type="spellStart"/>
      <w:r w:rsidRPr="00287886">
        <w:rPr>
          <w:sz w:val="24"/>
        </w:rPr>
        <w:t>ciudadano</w:t>
      </w:r>
      <w:proofErr w:type="spellEnd"/>
      <w:r w:rsidRPr="00287886">
        <w:rPr>
          <w:sz w:val="24"/>
        </w:rPr>
        <w:t xml:space="preserve"> los </w:t>
      </w:r>
      <w:proofErr w:type="spellStart"/>
      <w:r w:rsidRPr="00287886">
        <w:rPr>
          <w:sz w:val="24"/>
        </w:rPr>
        <w:t>resultados</w:t>
      </w:r>
      <w:proofErr w:type="spellEnd"/>
      <w:r w:rsidRPr="00287886">
        <w:rPr>
          <w:sz w:val="24"/>
        </w:rPr>
        <w:t xml:space="preserve"> de una </w:t>
      </w:r>
      <w:proofErr w:type="spellStart"/>
      <w:r w:rsidRPr="00287886">
        <w:rPr>
          <w:sz w:val="24"/>
        </w:rPr>
        <w:t>gestión</w:t>
      </w:r>
      <w:proofErr w:type="spellEnd"/>
      <w:r w:rsidRPr="00287886">
        <w:rPr>
          <w:sz w:val="24"/>
        </w:rPr>
        <w:t xml:space="preserve"> </w:t>
      </w:r>
      <w:proofErr w:type="spellStart"/>
      <w:r w:rsidRPr="00287886">
        <w:rPr>
          <w:sz w:val="24"/>
        </w:rPr>
        <w:t>orientada</w:t>
      </w:r>
      <w:proofErr w:type="spellEnd"/>
      <w:r w:rsidRPr="00287886">
        <w:rPr>
          <w:sz w:val="24"/>
        </w:rPr>
        <w:t xml:space="preserve"> a la </w:t>
      </w:r>
      <w:proofErr w:type="spellStart"/>
      <w:r w:rsidRPr="00287886">
        <w:rPr>
          <w:sz w:val="24"/>
        </w:rPr>
        <w:t>protección</w:t>
      </w:r>
      <w:proofErr w:type="spellEnd"/>
      <w:r w:rsidRPr="00287886">
        <w:rPr>
          <w:sz w:val="24"/>
        </w:rPr>
        <w:t xml:space="preserve"> de la </w:t>
      </w:r>
      <w:proofErr w:type="spellStart"/>
      <w:r w:rsidRPr="00287886">
        <w:rPr>
          <w:sz w:val="24"/>
        </w:rPr>
        <w:t>vida</w:t>
      </w:r>
      <w:proofErr w:type="spellEnd"/>
      <w:r w:rsidRPr="00287886">
        <w:rPr>
          <w:sz w:val="24"/>
        </w:rPr>
        <w:t xml:space="preserve"> y a la </w:t>
      </w:r>
      <w:proofErr w:type="spellStart"/>
      <w:r w:rsidRPr="00287886">
        <w:rPr>
          <w:sz w:val="24"/>
        </w:rPr>
        <w:t>garantía</w:t>
      </w:r>
      <w:proofErr w:type="spellEnd"/>
      <w:r w:rsidRPr="00287886">
        <w:rPr>
          <w:sz w:val="24"/>
        </w:rPr>
        <w:t xml:space="preserve"> de derechos. Durante el </w:t>
      </w:r>
      <w:proofErr w:type="spellStart"/>
      <w:r w:rsidRPr="00287886">
        <w:rPr>
          <w:sz w:val="24"/>
        </w:rPr>
        <w:t>período</w:t>
      </w:r>
      <w:proofErr w:type="spellEnd"/>
      <w:r w:rsidRPr="00287886">
        <w:rPr>
          <w:sz w:val="24"/>
        </w:rPr>
        <w:t xml:space="preserve"> se </w:t>
      </w:r>
      <w:proofErr w:type="spellStart"/>
      <w:r w:rsidRPr="00287886">
        <w:rPr>
          <w:sz w:val="24"/>
        </w:rPr>
        <w:t>ampliaron</w:t>
      </w:r>
      <w:proofErr w:type="spellEnd"/>
      <w:r w:rsidRPr="00287886">
        <w:rPr>
          <w:sz w:val="24"/>
        </w:rPr>
        <w:t xml:space="preserve"> las </w:t>
      </w:r>
      <w:proofErr w:type="spellStart"/>
      <w:r w:rsidRPr="00287886">
        <w:rPr>
          <w:sz w:val="24"/>
        </w:rPr>
        <w:t>estrategias</w:t>
      </w:r>
      <w:proofErr w:type="spellEnd"/>
      <w:r w:rsidRPr="00287886">
        <w:rPr>
          <w:sz w:val="24"/>
        </w:rPr>
        <w:t xml:space="preserve"> de </w:t>
      </w:r>
      <w:proofErr w:type="spellStart"/>
      <w:r w:rsidRPr="00287886">
        <w:rPr>
          <w:sz w:val="24"/>
        </w:rPr>
        <w:t>prevención</w:t>
      </w:r>
      <w:proofErr w:type="spellEnd"/>
      <w:r w:rsidRPr="00287886">
        <w:rPr>
          <w:sz w:val="24"/>
        </w:rPr>
        <w:t xml:space="preserve"> </w:t>
      </w:r>
      <w:proofErr w:type="spellStart"/>
      <w:r w:rsidRPr="00287886">
        <w:rPr>
          <w:sz w:val="24"/>
        </w:rPr>
        <w:t>combinada</w:t>
      </w:r>
      <w:proofErr w:type="spellEnd"/>
      <w:r w:rsidRPr="00287886">
        <w:rPr>
          <w:sz w:val="24"/>
        </w:rPr>
        <w:t xml:space="preserve">, la </w:t>
      </w:r>
      <w:proofErr w:type="spellStart"/>
      <w:r w:rsidRPr="00287886">
        <w:rPr>
          <w:sz w:val="24"/>
        </w:rPr>
        <w:t>descentralización</w:t>
      </w:r>
      <w:proofErr w:type="spellEnd"/>
      <w:r w:rsidRPr="00287886">
        <w:rPr>
          <w:sz w:val="24"/>
        </w:rPr>
        <w:t xml:space="preserve"> del </w:t>
      </w:r>
      <w:proofErr w:type="spellStart"/>
      <w:r w:rsidRPr="00287886">
        <w:rPr>
          <w:sz w:val="24"/>
        </w:rPr>
        <w:t>tratamiento</w:t>
      </w:r>
      <w:proofErr w:type="spellEnd"/>
      <w:r w:rsidRPr="00287886">
        <w:rPr>
          <w:sz w:val="24"/>
        </w:rPr>
        <w:t xml:space="preserve"> y los </w:t>
      </w:r>
      <w:proofErr w:type="spellStart"/>
      <w:r w:rsidRPr="00287886">
        <w:rPr>
          <w:sz w:val="24"/>
        </w:rPr>
        <w:t>servicios</w:t>
      </w:r>
      <w:proofErr w:type="spellEnd"/>
      <w:r w:rsidRPr="00287886">
        <w:rPr>
          <w:sz w:val="24"/>
        </w:rPr>
        <w:t xml:space="preserve"> </w:t>
      </w:r>
      <w:proofErr w:type="spellStart"/>
      <w:r w:rsidRPr="00287886">
        <w:rPr>
          <w:sz w:val="24"/>
        </w:rPr>
        <w:t>virtuales</w:t>
      </w:r>
      <w:proofErr w:type="spellEnd"/>
      <w:r w:rsidRPr="00287886">
        <w:rPr>
          <w:sz w:val="24"/>
        </w:rPr>
        <w:t xml:space="preserve">, con </w:t>
      </w:r>
      <w:proofErr w:type="spellStart"/>
      <w:r w:rsidRPr="00287886">
        <w:rPr>
          <w:sz w:val="24"/>
        </w:rPr>
        <w:t>impacto</w:t>
      </w:r>
      <w:proofErr w:type="spellEnd"/>
      <w:r w:rsidRPr="00287886">
        <w:rPr>
          <w:sz w:val="24"/>
        </w:rPr>
        <w:t xml:space="preserve"> visible </w:t>
      </w:r>
      <w:proofErr w:type="spellStart"/>
      <w:r w:rsidRPr="00287886">
        <w:rPr>
          <w:sz w:val="24"/>
        </w:rPr>
        <w:t>en</w:t>
      </w:r>
      <w:proofErr w:type="spellEnd"/>
      <w:r w:rsidRPr="00287886">
        <w:rPr>
          <w:sz w:val="24"/>
        </w:rPr>
        <w:t xml:space="preserve"> la </w:t>
      </w:r>
      <w:proofErr w:type="spellStart"/>
      <w:r w:rsidRPr="00287886">
        <w:rPr>
          <w:sz w:val="24"/>
        </w:rPr>
        <w:t>reducción</w:t>
      </w:r>
      <w:proofErr w:type="spellEnd"/>
      <w:r w:rsidRPr="00287886">
        <w:rPr>
          <w:sz w:val="24"/>
        </w:rPr>
        <w:t xml:space="preserve"> del </w:t>
      </w:r>
      <w:proofErr w:type="spellStart"/>
      <w:r w:rsidRPr="00287886">
        <w:rPr>
          <w:sz w:val="24"/>
        </w:rPr>
        <w:t>diagnóstico</w:t>
      </w:r>
      <w:proofErr w:type="spellEnd"/>
      <w:r w:rsidRPr="00287886">
        <w:rPr>
          <w:sz w:val="24"/>
        </w:rPr>
        <w:t xml:space="preserve"> </w:t>
      </w:r>
      <w:proofErr w:type="spellStart"/>
      <w:r w:rsidRPr="00287886">
        <w:rPr>
          <w:sz w:val="24"/>
        </w:rPr>
        <w:t>tardío</w:t>
      </w:r>
      <w:proofErr w:type="spellEnd"/>
      <w:r w:rsidRPr="00287886">
        <w:rPr>
          <w:sz w:val="24"/>
        </w:rPr>
        <w:t xml:space="preserve"> y </w:t>
      </w:r>
      <w:proofErr w:type="spellStart"/>
      <w:r w:rsidRPr="00287886">
        <w:rPr>
          <w:sz w:val="24"/>
        </w:rPr>
        <w:t>en</w:t>
      </w:r>
      <w:proofErr w:type="spellEnd"/>
      <w:r w:rsidRPr="00287886">
        <w:rPr>
          <w:sz w:val="24"/>
        </w:rPr>
        <w:t xml:space="preserve"> la </w:t>
      </w:r>
      <w:proofErr w:type="spellStart"/>
      <w:r w:rsidRPr="00287886">
        <w:rPr>
          <w:sz w:val="24"/>
        </w:rPr>
        <w:t>disminución</w:t>
      </w:r>
      <w:proofErr w:type="spellEnd"/>
      <w:r w:rsidRPr="00287886">
        <w:rPr>
          <w:sz w:val="24"/>
        </w:rPr>
        <w:t xml:space="preserve"> de los </w:t>
      </w:r>
      <w:proofErr w:type="spellStart"/>
      <w:r w:rsidRPr="00287886">
        <w:rPr>
          <w:sz w:val="24"/>
        </w:rPr>
        <w:t>nacidos</w:t>
      </w:r>
      <w:proofErr w:type="spellEnd"/>
      <w:r w:rsidRPr="00287886">
        <w:rPr>
          <w:sz w:val="24"/>
        </w:rPr>
        <w:t xml:space="preserve"> con VIH.</w:t>
      </w:r>
    </w:p>
    <w:p w:rsidR="00287886" w:rsidRPr="00287886" w:rsidRDefault="00287886" w:rsidP="00287886">
      <w:pPr>
        <w:jc w:val="both"/>
        <w:rPr>
          <w:sz w:val="24"/>
        </w:rPr>
      </w:pPr>
      <w:r w:rsidRPr="00287886">
        <w:rPr>
          <w:sz w:val="24"/>
        </w:rPr>
        <w:t xml:space="preserve">La </w:t>
      </w:r>
      <w:proofErr w:type="spellStart"/>
      <w:r w:rsidRPr="00287886">
        <w:rPr>
          <w:sz w:val="24"/>
        </w:rPr>
        <w:t>expansión</w:t>
      </w:r>
      <w:proofErr w:type="spellEnd"/>
      <w:r w:rsidRPr="00287886">
        <w:rPr>
          <w:sz w:val="24"/>
        </w:rPr>
        <w:t xml:space="preserve"> de la ETMI Plus </w:t>
      </w:r>
      <w:proofErr w:type="spellStart"/>
      <w:r w:rsidRPr="00287886">
        <w:rPr>
          <w:sz w:val="24"/>
        </w:rPr>
        <w:t>en</w:t>
      </w:r>
      <w:proofErr w:type="spellEnd"/>
      <w:r w:rsidRPr="00287886">
        <w:rPr>
          <w:sz w:val="24"/>
        </w:rPr>
        <w:t xml:space="preserve"> </w:t>
      </w:r>
      <w:proofErr w:type="spellStart"/>
      <w:r w:rsidRPr="00287886">
        <w:rPr>
          <w:sz w:val="24"/>
        </w:rPr>
        <w:t>todo</w:t>
      </w:r>
      <w:proofErr w:type="spellEnd"/>
      <w:r w:rsidRPr="00287886">
        <w:rPr>
          <w:sz w:val="24"/>
        </w:rPr>
        <w:t xml:space="preserve"> el </w:t>
      </w:r>
      <w:proofErr w:type="spellStart"/>
      <w:r w:rsidRPr="00287886">
        <w:rPr>
          <w:sz w:val="24"/>
        </w:rPr>
        <w:t>territorio</w:t>
      </w:r>
      <w:proofErr w:type="spellEnd"/>
      <w:r w:rsidRPr="00287886">
        <w:rPr>
          <w:sz w:val="24"/>
        </w:rPr>
        <w:t xml:space="preserve"> </w:t>
      </w:r>
      <w:proofErr w:type="spellStart"/>
      <w:r w:rsidRPr="00287886">
        <w:rPr>
          <w:sz w:val="24"/>
        </w:rPr>
        <w:t>nacional</w:t>
      </w:r>
      <w:proofErr w:type="spellEnd"/>
      <w:r w:rsidRPr="00287886">
        <w:rPr>
          <w:sz w:val="24"/>
        </w:rPr>
        <w:t xml:space="preserve"> </w:t>
      </w:r>
      <w:proofErr w:type="spellStart"/>
      <w:r w:rsidRPr="00287886">
        <w:rPr>
          <w:sz w:val="24"/>
        </w:rPr>
        <w:t>expresa</w:t>
      </w:r>
      <w:proofErr w:type="spellEnd"/>
      <w:r w:rsidRPr="00287886">
        <w:rPr>
          <w:sz w:val="24"/>
        </w:rPr>
        <w:t xml:space="preserve"> la </w:t>
      </w:r>
      <w:proofErr w:type="spellStart"/>
      <w:r w:rsidRPr="00287886">
        <w:rPr>
          <w:sz w:val="24"/>
        </w:rPr>
        <w:t>decisión</w:t>
      </w:r>
      <w:proofErr w:type="spellEnd"/>
      <w:r w:rsidRPr="00287886">
        <w:rPr>
          <w:sz w:val="24"/>
        </w:rPr>
        <w:t xml:space="preserve"> del Estado de </w:t>
      </w:r>
      <w:proofErr w:type="spellStart"/>
      <w:r w:rsidRPr="00287886">
        <w:rPr>
          <w:sz w:val="24"/>
        </w:rPr>
        <w:t>priorizar</w:t>
      </w:r>
      <w:proofErr w:type="spellEnd"/>
      <w:r w:rsidRPr="00287886">
        <w:rPr>
          <w:sz w:val="24"/>
        </w:rPr>
        <w:t xml:space="preserve"> la </w:t>
      </w:r>
      <w:proofErr w:type="spellStart"/>
      <w:r w:rsidRPr="00287886">
        <w:rPr>
          <w:sz w:val="24"/>
        </w:rPr>
        <w:t>eliminación</w:t>
      </w:r>
      <w:proofErr w:type="spellEnd"/>
      <w:r w:rsidRPr="00287886">
        <w:rPr>
          <w:sz w:val="24"/>
        </w:rPr>
        <w:t xml:space="preserve"> de la </w:t>
      </w:r>
      <w:proofErr w:type="spellStart"/>
      <w:r w:rsidRPr="00287886">
        <w:rPr>
          <w:sz w:val="24"/>
        </w:rPr>
        <w:t>transmisión</w:t>
      </w:r>
      <w:proofErr w:type="spellEnd"/>
      <w:r w:rsidRPr="00287886">
        <w:rPr>
          <w:sz w:val="24"/>
        </w:rPr>
        <w:t xml:space="preserve"> </w:t>
      </w:r>
      <w:proofErr w:type="spellStart"/>
      <w:r w:rsidRPr="00287886">
        <w:rPr>
          <w:sz w:val="24"/>
        </w:rPr>
        <w:t>materno-infantil</w:t>
      </w:r>
      <w:proofErr w:type="spellEnd"/>
      <w:r w:rsidRPr="00287886">
        <w:rPr>
          <w:sz w:val="24"/>
        </w:rPr>
        <w:t xml:space="preserve">, y el </w:t>
      </w:r>
      <w:proofErr w:type="spellStart"/>
      <w:r w:rsidRPr="00287886">
        <w:rPr>
          <w:sz w:val="24"/>
        </w:rPr>
        <w:t>crecimiento</w:t>
      </w:r>
      <w:proofErr w:type="spellEnd"/>
      <w:r w:rsidRPr="00287886">
        <w:rPr>
          <w:sz w:val="24"/>
        </w:rPr>
        <w:t xml:space="preserve"> de la </w:t>
      </w:r>
      <w:proofErr w:type="spellStart"/>
      <w:r w:rsidRPr="00287886">
        <w:rPr>
          <w:sz w:val="24"/>
        </w:rPr>
        <w:t>PrEP</w:t>
      </w:r>
      <w:proofErr w:type="spellEnd"/>
      <w:r w:rsidRPr="00287886">
        <w:rPr>
          <w:sz w:val="24"/>
        </w:rPr>
        <w:t xml:space="preserve"> </w:t>
      </w:r>
      <w:proofErr w:type="spellStart"/>
      <w:r w:rsidRPr="00287886">
        <w:rPr>
          <w:sz w:val="24"/>
        </w:rPr>
        <w:t>confirma</w:t>
      </w:r>
      <w:proofErr w:type="spellEnd"/>
      <w:r w:rsidRPr="00287886">
        <w:rPr>
          <w:sz w:val="24"/>
        </w:rPr>
        <w:t xml:space="preserve"> el </w:t>
      </w:r>
      <w:proofErr w:type="spellStart"/>
      <w:r w:rsidRPr="00287886">
        <w:rPr>
          <w:sz w:val="24"/>
        </w:rPr>
        <w:t>fortalecimiento</w:t>
      </w:r>
      <w:proofErr w:type="spellEnd"/>
      <w:r w:rsidRPr="00287886">
        <w:rPr>
          <w:sz w:val="24"/>
        </w:rPr>
        <w:t xml:space="preserve"> de la </w:t>
      </w:r>
      <w:proofErr w:type="spellStart"/>
      <w:r w:rsidRPr="00287886">
        <w:rPr>
          <w:sz w:val="24"/>
        </w:rPr>
        <w:t>capacidad</w:t>
      </w:r>
      <w:proofErr w:type="spellEnd"/>
      <w:r w:rsidRPr="00287886">
        <w:rPr>
          <w:sz w:val="24"/>
        </w:rPr>
        <w:t xml:space="preserve"> </w:t>
      </w:r>
      <w:proofErr w:type="spellStart"/>
      <w:r w:rsidRPr="00287886">
        <w:rPr>
          <w:sz w:val="24"/>
        </w:rPr>
        <w:t>preventiva</w:t>
      </w:r>
      <w:proofErr w:type="spellEnd"/>
      <w:r w:rsidRPr="00287886">
        <w:rPr>
          <w:sz w:val="24"/>
        </w:rPr>
        <w:t xml:space="preserve"> del </w:t>
      </w:r>
      <w:proofErr w:type="spellStart"/>
      <w:r w:rsidRPr="00287886">
        <w:rPr>
          <w:sz w:val="24"/>
        </w:rPr>
        <w:t>sistema</w:t>
      </w:r>
      <w:proofErr w:type="spellEnd"/>
      <w:r w:rsidRPr="00287886">
        <w:rPr>
          <w:sz w:val="24"/>
        </w:rPr>
        <w:t xml:space="preserve">. Al </w:t>
      </w:r>
      <w:proofErr w:type="spellStart"/>
      <w:r w:rsidRPr="00287886">
        <w:rPr>
          <w:sz w:val="24"/>
        </w:rPr>
        <w:t>mismo</w:t>
      </w:r>
      <w:proofErr w:type="spellEnd"/>
      <w:r w:rsidRPr="00287886">
        <w:rPr>
          <w:sz w:val="24"/>
        </w:rPr>
        <w:t xml:space="preserve"> </w:t>
      </w:r>
      <w:proofErr w:type="spellStart"/>
      <w:r w:rsidRPr="00287886">
        <w:rPr>
          <w:sz w:val="24"/>
        </w:rPr>
        <w:t>tiempo</w:t>
      </w:r>
      <w:proofErr w:type="spellEnd"/>
      <w:r w:rsidRPr="00287886">
        <w:rPr>
          <w:sz w:val="24"/>
        </w:rPr>
        <w:t xml:space="preserve">, el </w:t>
      </w:r>
      <w:proofErr w:type="spellStart"/>
      <w:r w:rsidRPr="00287886">
        <w:rPr>
          <w:sz w:val="24"/>
        </w:rPr>
        <w:t>acercamiento</w:t>
      </w:r>
      <w:proofErr w:type="spellEnd"/>
      <w:r w:rsidRPr="00287886">
        <w:rPr>
          <w:sz w:val="24"/>
        </w:rPr>
        <w:t xml:space="preserve"> de los </w:t>
      </w:r>
      <w:proofErr w:type="spellStart"/>
      <w:r w:rsidRPr="00287886">
        <w:rPr>
          <w:sz w:val="24"/>
        </w:rPr>
        <w:t>antirretrovirales</w:t>
      </w:r>
      <w:proofErr w:type="spellEnd"/>
      <w:r w:rsidRPr="00287886">
        <w:rPr>
          <w:sz w:val="24"/>
        </w:rPr>
        <w:t xml:space="preserve"> al primer y </w:t>
      </w:r>
      <w:proofErr w:type="spellStart"/>
      <w:r w:rsidRPr="00287886">
        <w:rPr>
          <w:sz w:val="24"/>
        </w:rPr>
        <w:t>segundo</w:t>
      </w:r>
      <w:proofErr w:type="spellEnd"/>
      <w:r w:rsidRPr="00287886">
        <w:rPr>
          <w:sz w:val="24"/>
        </w:rPr>
        <w:t xml:space="preserve"> </w:t>
      </w:r>
      <w:proofErr w:type="spellStart"/>
      <w:r w:rsidRPr="00287886">
        <w:rPr>
          <w:sz w:val="24"/>
        </w:rPr>
        <w:t>nivel</w:t>
      </w:r>
      <w:proofErr w:type="spellEnd"/>
      <w:r w:rsidRPr="00287886">
        <w:rPr>
          <w:sz w:val="24"/>
        </w:rPr>
        <w:t xml:space="preserve"> de </w:t>
      </w:r>
      <w:proofErr w:type="spellStart"/>
      <w:r w:rsidRPr="00287886">
        <w:rPr>
          <w:sz w:val="24"/>
        </w:rPr>
        <w:t>atención</w:t>
      </w:r>
      <w:proofErr w:type="spellEnd"/>
      <w:r w:rsidRPr="00287886">
        <w:rPr>
          <w:sz w:val="24"/>
        </w:rPr>
        <w:t xml:space="preserve"> </w:t>
      </w:r>
      <w:proofErr w:type="spellStart"/>
      <w:r w:rsidRPr="00287886">
        <w:rPr>
          <w:sz w:val="24"/>
        </w:rPr>
        <w:t>permitió</w:t>
      </w:r>
      <w:proofErr w:type="spellEnd"/>
      <w:r w:rsidRPr="00287886">
        <w:rPr>
          <w:sz w:val="24"/>
        </w:rPr>
        <w:t xml:space="preserve"> </w:t>
      </w:r>
      <w:proofErr w:type="spellStart"/>
      <w:r w:rsidRPr="00287886">
        <w:rPr>
          <w:sz w:val="24"/>
        </w:rPr>
        <w:t>reducir</w:t>
      </w:r>
      <w:proofErr w:type="spellEnd"/>
      <w:r w:rsidRPr="00287886">
        <w:rPr>
          <w:sz w:val="24"/>
        </w:rPr>
        <w:t xml:space="preserve"> </w:t>
      </w:r>
      <w:proofErr w:type="spellStart"/>
      <w:r w:rsidRPr="00287886">
        <w:rPr>
          <w:sz w:val="24"/>
        </w:rPr>
        <w:t>barreras</w:t>
      </w:r>
      <w:proofErr w:type="spellEnd"/>
      <w:r w:rsidRPr="00287886">
        <w:rPr>
          <w:sz w:val="24"/>
        </w:rPr>
        <w:t xml:space="preserve"> </w:t>
      </w:r>
      <w:proofErr w:type="spellStart"/>
      <w:r w:rsidRPr="00287886">
        <w:rPr>
          <w:sz w:val="24"/>
        </w:rPr>
        <w:t>geográficas</w:t>
      </w:r>
      <w:proofErr w:type="spellEnd"/>
      <w:r w:rsidRPr="00287886">
        <w:rPr>
          <w:sz w:val="24"/>
        </w:rPr>
        <w:t xml:space="preserve"> y </w:t>
      </w:r>
      <w:proofErr w:type="spellStart"/>
      <w:r w:rsidRPr="00287886">
        <w:rPr>
          <w:sz w:val="24"/>
        </w:rPr>
        <w:t>tiempos</w:t>
      </w:r>
      <w:proofErr w:type="spellEnd"/>
      <w:r w:rsidRPr="00287886">
        <w:rPr>
          <w:sz w:val="24"/>
        </w:rPr>
        <w:t xml:space="preserve"> de </w:t>
      </w:r>
      <w:proofErr w:type="spellStart"/>
      <w:r w:rsidRPr="00287886">
        <w:rPr>
          <w:sz w:val="24"/>
        </w:rPr>
        <w:t>inicio</w:t>
      </w:r>
      <w:proofErr w:type="spellEnd"/>
      <w:r w:rsidRPr="00287886">
        <w:rPr>
          <w:sz w:val="24"/>
        </w:rPr>
        <w:t xml:space="preserve"> </w:t>
      </w:r>
      <w:proofErr w:type="spellStart"/>
      <w:r w:rsidRPr="00287886">
        <w:rPr>
          <w:sz w:val="24"/>
        </w:rPr>
        <w:t>terapéutico</w:t>
      </w:r>
      <w:proofErr w:type="spellEnd"/>
      <w:r w:rsidRPr="00287886">
        <w:rPr>
          <w:sz w:val="24"/>
        </w:rPr>
        <w:t xml:space="preserve">, </w:t>
      </w:r>
      <w:proofErr w:type="spellStart"/>
      <w:r w:rsidRPr="00287886">
        <w:rPr>
          <w:sz w:val="24"/>
        </w:rPr>
        <w:t>construyendo</w:t>
      </w:r>
      <w:proofErr w:type="spellEnd"/>
      <w:r w:rsidRPr="00287886">
        <w:rPr>
          <w:sz w:val="24"/>
        </w:rPr>
        <w:t xml:space="preserve"> una red </w:t>
      </w:r>
      <w:proofErr w:type="spellStart"/>
      <w:r w:rsidRPr="00287886">
        <w:rPr>
          <w:sz w:val="24"/>
        </w:rPr>
        <w:t>más</w:t>
      </w:r>
      <w:proofErr w:type="spellEnd"/>
      <w:r w:rsidRPr="00287886">
        <w:rPr>
          <w:sz w:val="24"/>
        </w:rPr>
        <w:t xml:space="preserve"> </w:t>
      </w:r>
      <w:proofErr w:type="spellStart"/>
      <w:r w:rsidRPr="00287886">
        <w:rPr>
          <w:sz w:val="24"/>
        </w:rPr>
        <w:t>equitativa</w:t>
      </w:r>
      <w:proofErr w:type="spellEnd"/>
      <w:r w:rsidRPr="00287886">
        <w:rPr>
          <w:sz w:val="24"/>
        </w:rPr>
        <w:t xml:space="preserve"> y </w:t>
      </w:r>
      <w:proofErr w:type="spellStart"/>
      <w:r w:rsidRPr="00287886">
        <w:rPr>
          <w:sz w:val="24"/>
        </w:rPr>
        <w:t>cercana</w:t>
      </w:r>
      <w:proofErr w:type="spellEnd"/>
      <w:r w:rsidRPr="00287886">
        <w:rPr>
          <w:sz w:val="24"/>
        </w:rPr>
        <w:t>.</w:t>
      </w:r>
    </w:p>
    <w:p w:rsidR="00287886" w:rsidRPr="00287886" w:rsidRDefault="00287886" w:rsidP="00287886">
      <w:pPr>
        <w:jc w:val="both"/>
        <w:rPr>
          <w:sz w:val="24"/>
        </w:rPr>
      </w:pPr>
      <w:r w:rsidRPr="00287886">
        <w:rPr>
          <w:sz w:val="24"/>
        </w:rPr>
        <w:t xml:space="preserve">El </w:t>
      </w:r>
      <w:proofErr w:type="spellStart"/>
      <w:r w:rsidRPr="00287886">
        <w:rPr>
          <w:sz w:val="24"/>
        </w:rPr>
        <w:t>Programa</w:t>
      </w:r>
      <w:proofErr w:type="spellEnd"/>
      <w:r w:rsidRPr="00287886">
        <w:rPr>
          <w:sz w:val="24"/>
        </w:rPr>
        <w:t xml:space="preserve"> </w:t>
      </w:r>
      <w:proofErr w:type="spellStart"/>
      <w:r w:rsidRPr="00287886">
        <w:rPr>
          <w:sz w:val="24"/>
        </w:rPr>
        <w:t>reconoce</w:t>
      </w:r>
      <w:proofErr w:type="spellEnd"/>
      <w:r w:rsidRPr="00287886">
        <w:rPr>
          <w:sz w:val="24"/>
        </w:rPr>
        <w:t xml:space="preserve"> que los </w:t>
      </w:r>
      <w:proofErr w:type="spellStart"/>
      <w:r w:rsidRPr="00287886">
        <w:rPr>
          <w:sz w:val="24"/>
        </w:rPr>
        <w:t>avances</w:t>
      </w:r>
      <w:proofErr w:type="spellEnd"/>
      <w:r w:rsidRPr="00287886">
        <w:rPr>
          <w:sz w:val="24"/>
        </w:rPr>
        <w:t xml:space="preserve"> </w:t>
      </w:r>
      <w:proofErr w:type="spellStart"/>
      <w:r w:rsidRPr="00287886">
        <w:rPr>
          <w:sz w:val="24"/>
        </w:rPr>
        <w:t>alcanzados</w:t>
      </w:r>
      <w:proofErr w:type="spellEnd"/>
      <w:r w:rsidRPr="00287886">
        <w:rPr>
          <w:sz w:val="24"/>
        </w:rPr>
        <w:t xml:space="preserve"> </w:t>
      </w:r>
      <w:proofErr w:type="spellStart"/>
      <w:r w:rsidRPr="00287886">
        <w:rPr>
          <w:sz w:val="24"/>
        </w:rPr>
        <w:t>deben</w:t>
      </w:r>
      <w:proofErr w:type="spellEnd"/>
      <w:r w:rsidRPr="00287886">
        <w:rPr>
          <w:sz w:val="24"/>
        </w:rPr>
        <w:t xml:space="preserve"> </w:t>
      </w:r>
      <w:proofErr w:type="spellStart"/>
      <w:r w:rsidRPr="00287886">
        <w:rPr>
          <w:sz w:val="24"/>
        </w:rPr>
        <w:t>ir</w:t>
      </w:r>
      <w:proofErr w:type="spellEnd"/>
      <w:r w:rsidRPr="00287886">
        <w:rPr>
          <w:sz w:val="24"/>
        </w:rPr>
        <w:t xml:space="preserve"> </w:t>
      </w:r>
      <w:proofErr w:type="spellStart"/>
      <w:r w:rsidRPr="00287886">
        <w:rPr>
          <w:sz w:val="24"/>
        </w:rPr>
        <w:t>acompañados</w:t>
      </w:r>
      <w:proofErr w:type="spellEnd"/>
      <w:r w:rsidRPr="00287886">
        <w:rPr>
          <w:sz w:val="24"/>
        </w:rPr>
        <w:t xml:space="preserve"> por un </w:t>
      </w:r>
      <w:proofErr w:type="spellStart"/>
      <w:r w:rsidRPr="00287886">
        <w:rPr>
          <w:sz w:val="24"/>
        </w:rPr>
        <w:t>trabajo</w:t>
      </w:r>
      <w:proofErr w:type="spellEnd"/>
      <w:r w:rsidRPr="00287886">
        <w:rPr>
          <w:sz w:val="24"/>
        </w:rPr>
        <w:t xml:space="preserve"> continuo para </w:t>
      </w:r>
      <w:proofErr w:type="spellStart"/>
      <w:r w:rsidRPr="00287886">
        <w:rPr>
          <w:sz w:val="24"/>
        </w:rPr>
        <w:t>superar</w:t>
      </w:r>
      <w:proofErr w:type="spellEnd"/>
      <w:r w:rsidRPr="00287886">
        <w:rPr>
          <w:sz w:val="24"/>
        </w:rPr>
        <w:t xml:space="preserve"> el </w:t>
      </w:r>
      <w:proofErr w:type="spellStart"/>
      <w:r w:rsidRPr="00287886">
        <w:rPr>
          <w:sz w:val="24"/>
        </w:rPr>
        <w:t>estigma</w:t>
      </w:r>
      <w:proofErr w:type="spellEnd"/>
      <w:r w:rsidRPr="00287886">
        <w:rPr>
          <w:sz w:val="24"/>
        </w:rPr>
        <w:t xml:space="preserve"> y la </w:t>
      </w:r>
      <w:proofErr w:type="spellStart"/>
      <w:r w:rsidRPr="00287886">
        <w:rPr>
          <w:sz w:val="24"/>
        </w:rPr>
        <w:t>discriminación</w:t>
      </w:r>
      <w:proofErr w:type="spellEnd"/>
      <w:r w:rsidRPr="00287886">
        <w:rPr>
          <w:sz w:val="24"/>
        </w:rPr>
        <w:t xml:space="preserve">, </w:t>
      </w:r>
      <w:proofErr w:type="spellStart"/>
      <w:r w:rsidRPr="00287886">
        <w:rPr>
          <w:sz w:val="24"/>
        </w:rPr>
        <w:t>integrar</w:t>
      </w:r>
      <w:proofErr w:type="spellEnd"/>
      <w:r w:rsidRPr="00287886">
        <w:rPr>
          <w:sz w:val="24"/>
        </w:rPr>
        <w:t xml:space="preserve"> la </w:t>
      </w:r>
      <w:proofErr w:type="spellStart"/>
      <w:r w:rsidRPr="00287886">
        <w:rPr>
          <w:sz w:val="24"/>
        </w:rPr>
        <w:t>salud</w:t>
      </w:r>
      <w:proofErr w:type="spellEnd"/>
      <w:r w:rsidRPr="00287886">
        <w:rPr>
          <w:sz w:val="24"/>
        </w:rPr>
        <w:t xml:space="preserve"> mental, </w:t>
      </w:r>
      <w:proofErr w:type="spellStart"/>
      <w:r w:rsidRPr="00287886">
        <w:rPr>
          <w:sz w:val="24"/>
        </w:rPr>
        <w:t>atender</w:t>
      </w:r>
      <w:proofErr w:type="spellEnd"/>
      <w:r w:rsidRPr="00287886">
        <w:rPr>
          <w:sz w:val="24"/>
        </w:rPr>
        <w:t xml:space="preserve"> los </w:t>
      </w:r>
      <w:proofErr w:type="spellStart"/>
      <w:r w:rsidRPr="00287886">
        <w:rPr>
          <w:sz w:val="24"/>
        </w:rPr>
        <w:t>determinantes</w:t>
      </w:r>
      <w:proofErr w:type="spellEnd"/>
      <w:r w:rsidRPr="00287886">
        <w:rPr>
          <w:sz w:val="24"/>
        </w:rPr>
        <w:t xml:space="preserve"> </w:t>
      </w:r>
      <w:proofErr w:type="spellStart"/>
      <w:r w:rsidRPr="00287886">
        <w:rPr>
          <w:sz w:val="24"/>
        </w:rPr>
        <w:t>sociales</w:t>
      </w:r>
      <w:proofErr w:type="spellEnd"/>
      <w:r w:rsidRPr="00287886">
        <w:rPr>
          <w:sz w:val="24"/>
        </w:rPr>
        <w:t xml:space="preserve"> y </w:t>
      </w:r>
      <w:proofErr w:type="spellStart"/>
      <w:r w:rsidRPr="00287886">
        <w:rPr>
          <w:sz w:val="24"/>
        </w:rPr>
        <w:t>proteger</w:t>
      </w:r>
      <w:proofErr w:type="spellEnd"/>
      <w:r w:rsidRPr="00287886">
        <w:rPr>
          <w:sz w:val="24"/>
        </w:rPr>
        <w:t xml:space="preserve"> los </w:t>
      </w:r>
      <w:proofErr w:type="spellStart"/>
      <w:r w:rsidRPr="00287886">
        <w:rPr>
          <w:sz w:val="24"/>
        </w:rPr>
        <w:t>datos</w:t>
      </w:r>
      <w:proofErr w:type="spellEnd"/>
      <w:r w:rsidRPr="00287886">
        <w:rPr>
          <w:sz w:val="24"/>
        </w:rPr>
        <w:t xml:space="preserve"> </w:t>
      </w:r>
      <w:proofErr w:type="spellStart"/>
      <w:r w:rsidRPr="00287886">
        <w:rPr>
          <w:sz w:val="24"/>
        </w:rPr>
        <w:t>personales</w:t>
      </w:r>
      <w:proofErr w:type="spellEnd"/>
      <w:r w:rsidRPr="00287886">
        <w:rPr>
          <w:sz w:val="24"/>
        </w:rPr>
        <w:t xml:space="preserve"> </w:t>
      </w:r>
      <w:proofErr w:type="spellStart"/>
      <w:r w:rsidRPr="00287886">
        <w:rPr>
          <w:sz w:val="24"/>
        </w:rPr>
        <w:t>conforme</w:t>
      </w:r>
      <w:proofErr w:type="spellEnd"/>
      <w:r w:rsidRPr="00287886">
        <w:rPr>
          <w:sz w:val="24"/>
        </w:rPr>
        <w:t xml:space="preserve"> a la Ley 3940/09. La </w:t>
      </w:r>
      <w:proofErr w:type="spellStart"/>
      <w:r w:rsidRPr="00287886">
        <w:rPr>
          <w:sz w:val="24"/>
        </w:rPr>
        <w:t>respuesta</w:t>
      </w:r>
      <w:proofErr w:type="spellEnd"/>
      <w:r w:rsidRPr="00287886">
        <w:rPr>
          <w:sz w:val="24"/>
        </w:rPr>
        <w:t xml:space="preserve"> al VIH </w:t>
      </w:r>
      <w:proofErr w:type="spellStart"/>
      <w:r w:rsidRPr="00287886">
        <w:rPr>
          <w:sz w:val="24"/>
        </w:rPr>
        <w:t>requiere</w:t>
      </w:r>
      <w:proofErr w:type="spellEnd"/>
      <w:r w:rsidRPr="00287886">
        <w:rPr>
          <w:sz w:val="24"/>
        </w:rPr>
        <w:t xml:space="preserve"> una </w:t>
      </w:r>
      <w:proofErr w:type="spellStart"/>
      <w:r w:rsidRPr="00287886">
        <w:rPr>
          <w:sz w:val="24"/>
        </w:rPr>
        <w:t>mirada</w:t>
      </w:r>
      <w:proofErr w:type="spellEnd"/>
      <w:r w:rsidRPr="00287886">
        <w:rPr>
          <w:sz w:val="24"/>
        </w:rPr>
        <w:t xml:space="preserve"> de </w:t>
      </w:r>
      <w:proofErr w:type="spellStart"/>
      <w:r w:rsidRPr="00287886">
        <w:rPr>
          <w:sz w:val="24"/>
        </w:rPr>
        <w:t>salud</w:t>
      </w:r>
      <w:proofErr w:type="spellEnd"/>
      <w:r w:rsidRPr="00287886">
        <w:rPr>
          <w:sz w:val="24"/>
        </w:rPr>
        <w:t xml:space="preserve"> </w:t>
      </w:r>
      <w:proofErr w:type="spellStart"/>
      <w:r w:rsidRPr="00287886">
        <w:rPr>
          <w:sz w:val="24"/>
        </w:rPr>
        <w:t>pública</w:t>
      </w:r>
      <w:proofErr w:type="spellEnd"/>
      <w:r w:rsidRPr="00287886">
        <w:rPr>
          <w:sz w:val="24"/>
        </w:rPr>
        <w:t xml:space="preserve">, </w:t>
      </w:r>
      <w:proofErr w:type="spellStart"/>
      <w:r w:rsidRPr="00287886">
        <w:rPr>
          <w:sz w:val="24"/>
        </w:rPr>
        <w:t>articulada</w:t>
      </w:r>
      <w:proofErr w:type="spellEnd"/>
      <w:r w:rsidRPr="00287886">
        <w:rPr>
          <w:sz w:val="24"/>
        </w:rPr>
        <w:t xml:space="preserve"> con la </w:t>
      </w:r>
      <w:proofErr w:type="spellStart"/>
      <w:r w:rsidRPr="00287886">
        <w:rPr>
          <w:sz w:val="24"/>
        </w:rPr>
        <w:t>comunidad</w:t>
      </w:r>
      <w:proofErr w:type="spellEnd"/>
      <w:r w:rsidRPr="00287886">
        <w:rPr>
          <w:sz w:val="24"/>
        </w:rPr>
        <w:t xml:space="preserve"> y con los </w:t>
      </w:r>
      <w:proofErr w:type="spellStart"/>
      <w:r w:rsidRPr="00287886">
        <w:rPr>
          <w:sz w:val="24"/>
        </w:rPr>
        <w:t>distintos</w:t>
      </w:r>
      <w:proofErr w:type="spellEnd"/>
      <w:r w:rsidRPr="00287886">
        <w:rPr>
          <w:sz w:val="24"/>
        </w:rPr>
        <w:t xml:space="preserve"> </w:t>
      </w:r>
      <w:proofErr w:type="spellStart"/>
      <w:r w:rsidRPr="00287886">
        <w:rPr>
          <w:sz w:val="24"/>
        </w:rPr>
        <w:t>sectores</w:t>
      </w:r>
      <w:proofErr w:type="spellEnd"/>
      <w:r w:rsidRPr="00287886">
        <w:rPr>
          <w:sz w:val="24"/>
        </w:rPr>
        <w:t xml:space="preserve"> del Estado.</w:t>
      </w:r>
    </w:p>
    <w:p w:rsidR="00287886" w:rsidRPr="00287886" w:rsidRDefault="00287886" w:rsidP="00287886">
      <w:pPr>
        <w:jc w:val="both"/>
        <w:rPr>
          <w:lang w:val="es-ES"/>
        </w:rPr>
      </w:pPr>
      <w:r w:rsidRPr="00287886">
        <w:rPr>
          <w:sz w:val="24"/>
          <w:lang w:val="es-ES"/>
        </w:rPr>
        <w:t>Con esta memoria, el Ministerio reafirma su compromiso de administrar los recursos públicos con responsabilidad, transparencia y vocación de servicio, y convoca a la ciudadanía a ser parte de los esfuerzos para construir un país donde la prevención y la atención del VIH se desarrollen en un entorno de respeto, inclusión y solidaridad.</w:t>
      </w:r>
    </w:p>
    <w:p w:rsidR="00287886" w:rsidRPr="00287886" w:rsidRDefault="00287886" w:rsidP="00287886">
      <w:pPr>
        <w:rPr>
          <w:lang w:val="es-ES"/>
        </w:rPr>
      </w:pPr>
    </w:p>
    <w:sectPr w:rsidR="00287886" w:rsidRPr="00287886" w:rsidSect="00E00FD8">
      <w:headerReference w:type="default" r:id="rId10"/>
      <w:pgSz w:w="12240" w:h="18720" w:code="14"/>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D17" w:rsidRDefault="00DD0D17" w:rsidP="00565486">
      <w:pPr>
        <w:spacing w:after="0" w:line="240" w:lineRule="auto"/>
      </w:pPr>
      <w:r>
        <w:separator/>
      </w:r>
    </w:p>
  </w:endnote>
  <w:endnote w:type="continuationSeparator" w:id="0">
    <w:p w:rsidR="00DD0D17" w:rsidRDefault="00DD0D17" w:rsidP="0056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D17" w:rsidRDefault="00DD0D17" w:rsidP="00565486">
      <w:pPr>
        <w:spacing w:after="0" w:line="240" w:lineRule="auto"/>
      </w:pPr>
      <w:r>
        <w:separator/>
      </w:r>
    </w:p>
  </w:footnote>
  <w:footnote w:type="continuationSeparator" w:id="0">
    <w:p w:rsidR="00DD0D17" w:rsidRDefault="00DD0D17" w:rsidP="00565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486" w:rsidRDefault="00565486" w:rsidP="00565486">
    <w:pPr>
      <w:rPr>
        <w:lang w:val="es-ES"/>
      </w:rPr>
    </w:pPr>
    <w:r w:rsidRPr="00812CC3">
      <w:rPr>
        <w:noProof/>
        <w:lang w:val="es-ES" w:eastAsia="es-ES"/>
      </w:rPr>
      <w:drawing>
        <wp:anchor distT="0" distB="0" distL="114300" distR="114300" simplePos="0" relativeHeight="251666432" behindDoc="0" locked="0" layoutInCell="1" allowOverlap="1">
          <wp:simplePos x="0" y="0"/>
          <wp:positionH relativeFrom="column">
            <wp:posOffset>1004570</wp:posOffset>
          </wp:positionH>
          <wp:positionV relativeFrom="paragraph">
            <wp:posOffset>-2857</wp:posOffset>
          </wp:positionV>
          <wp:extent cx="2495550" cy="547613"/>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5476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2CC3">
      <w:rPr>
        <w:noProof/>
        <w:lang w:val="es-ES" w:eastAsia="es-ES"/>
      </w:rPr>
      <w:drawing>
        <wp:anchor distT="0" distB="0" distL="114300" distR="114300" simplePos="0" relativeHeight="251658240" behindDoc="0" locked="0" layoutInCell="1" allowOverlap="1">
          <wp:simplePos x="0" y="0"/>
          <wp:positionH relativeFrom="column">
            <wp:posOffset>3462020</wp:posOffset>
          </wp:positionH>
          <wp:positionV relativeFrom="paragraph">
            <wp:posOffset>-13970</wp:posOffset>
          </wp:positionV>
          <wp:extent cx="658373" cy="558851"/>
          <wp:effectExtent l="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373" cy="55885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5486" w:rsidRDefault="00565486" w:rsidP="00565486">
    <w:pPr>
      <w:rPr>
        <w:lang w:val="es-ES"/>
      </w:rPr>
    </w:pPr>
  </w:p>
  <w:p w:rsidR="00565486" w:rsidRPr="00874996" w:rsidRDefault="00565486" w:rsidP="00565486">
    <w:pPr>
      <w:jc w:val="center"/>
      <w:rPr>
        <w:sz w:val="20"/>
        <w:lang w:val="es-ES"/>
      </w:rPr>
    </w:pPr>
    <w:r w:rsidRPr="00874996">
      <w:rPr>
        <w:i/>
        <w:sz w:val="14"/>
        <w:lang w:val="es-ES"/>
      </w:rPr>
      <w:t>Misión: Promover la salud y calidad de vida de las personas con VIH e ITS mediante una respuesta multisectorial centrada en derechos humanos. Visión: Un Paraguay libre de estigma y discriminación, donde todas las personas accedan a servicios integrales y de calidad.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2F635FF"/>
    <w:multiLevelType w:val="hybridMultilevel"/>
    <w:tmpl w:val="505676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54D1927"/>
    <w:multiLevelType w:val="hybridMultilevel"/>
    <w:tmpl w:val="427CEA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EA179C0"/>
    <w:multiLevelType w:val="hybridMultilevel"/>
    <w:tmpl w:val="C2886542"/>
    <w:lvl w:ilvl="0" w:tplc="639234E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3AA1F95"/>
    <w:multiLevelType w:val="hybridMultilevel"/>
    <w:tmpl w:val="53B6F3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BD3C11"/>
    <w:multiLevelType w:val="hybridMultilevel"/>
    <w:tmpl w:val="B64CF6FA"/>
    <w:lvl w:ilvl="0" w:tplc="048E14D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8D42796"/>
    <w:multiLevelType w:val="multilevel"/>
    <w:tmpl w:val="B7804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0F3EBA"/>
    <w:multiLevelType w:val="hybridMultilevel"/>
    <w:tmpl w:val="7D9074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4440CEF"/>
    <w:multiLevelType w:val="hybridMultilevel"/>
    <w:tmpl w:val="30E887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89773FE"/>
    <w:multiLevelType w:val="hybridMultilevel"/>
    <w:tmpl w:val="DBE211DA"/>
    <w:lvl w:ilvl="0" w:tplc="718ED2A6">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A37386"/>
    <w:multiLevelType w:val="hybridMultilevel"/>
    <w:tmpl w:val="6212A85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3E648D3"/>
    <w:multiLevelType w:val="multilevel"/>
    <w:tmpl w:val="2A8A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883249"/>
    <w:multiLevelType w:val="hybridMultilevel"/>
    <w:tmpl w:val="E75AE458"/>
    <w:lvl w:ilvl="0" w:tplc="1222FCF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C043695"/>
    <w:multiLevelType w:val="hybridMultilevel"/>
    <w:tmpl w:val="623AB2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29C106D"/>
    <w:multiLevelType w:val="hybridMultilevel"/>
    <w:tmpl w:val="C6C897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34A41B0"/>
    <w:multiLevelType w:val="hybridMultilevel"/>
    <w:tmpl w:val="B64CF6FA"/>
    <w:lvl w:ilvl="0" w:tplc="048E14D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5383B9D"/>
    <w:multiLevelType w:val="hybridMultilevel"/>
    <w:tmpl w:val="0F326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6"/>
  </w:num>
  <w:num w:numId="12">
    <w:abstractNumId w:val="12"/>
  </w:num>
  <w:num w:numId="13">
    <w:abstractNumId w:val="22"/>
  </w:num>
  <w:num w:numId="14">
    <w:abstractNumId w:val="10"/>
  </w:num>
  <w:num w:numId="15">
    <w:abstractNumId w:val="17"/>
  </w:num>
  <w:num w:numId="16">
    <w:abstractNumId w:val="21"/>
  </w:num>
  <w:num w:numId="17">
    <w:abstractNumId w:val="11"/>
  </w:num>
  <w:num w:numId="18">
    <w:abstractNumId w:val="18"/>
  </w:num>
  <w:num w:numId="19">
    <w:abstractNumId w:val="20"/>
  </w:num>
  <w:num w:numId="20">
    <w:abstractNumId w:val="23"/>
  </w:num>
  <w:num w:numId="21">
    <w:abstractNumId w:val="14"/>
  </w:num>
  <w:num w:numId="22">
    <w:abstractNumId w:val="19"/>
  </w:num>
  <w:num w:numId="23">
    <w:abstractNumId w:val="13"/>
  </w:num>
  <w:num w:numId="24">
    <w:abstractNumId w:val="2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550A"/>
    <w:rsid w:val="0006063C"/>
    <w:rsid w:val="000B1429"/>
    <w:rsid w:val="000B1AFC"/>
    <w:rsid w:val="000D0D11"/>
    <w:rsid w:val="000E5D61"/>
    <w:rsid w:val="00103664"/>
    <w:rsid w:val="0011451A"/>
    <w:rsid w:val="00115B13"/>
    <w:rsid w:val="001304C0"/>
    <w:rsid w:val="001344C5"/>
    <w:rsid w:val="0015074B"/>
    <w:rsid w:val="001F37EB"/>
    <w:rsid w:val="00231D9C"/>
    <w:rsid w:val="00287886"/>
    <w:rsid w:val="0029639D"/>
    <w:rsid w:val="00326F90"/>
    <w:rsid w:val="003733B5"/>
    <w:rsid w:val="00397CBB"/>
    <w:rsid w:val="003A2F2D"/>
    <w:rsid w:val="00424944"/>
    <w:rsid w:val="004F3ABD"/>
    <w:rsid w:val="0051472A"/>
    <w:rsid w:val="00565486"/>
    <w:rsid w:val="006E1D0D"/>
    <w:rsid w:val="007331E4"/>
    <w:rsid w:val="00746508"/>
    <w:rsid w:val="00780613"/>
    <w:rsid w:val="00786CF6"/>
    <w:rsid w:val="00874996"/>
    <w:rsid w:val="008B1D56"/>
    <w:rsid w:val="008B4C4F"/>
    <w:rsid w:val="008C2209"/>
    <w:rsid w:val="00911CFD"/>
    <w:rsid w:val="00933CDE"/>
    <w:rsid w:val="009D6DF4"/>
    <w:rsid w:val="00A02BF0"/>
    <w:rsid w:val="00A03389"/>
    <w:rsid w:val="00A13FC2"/>
    <w:rsid w:val="00A35508"/>
    <w:rsid w:val="00A4776B"/>
    <w:rsid w:val="00A5144F"/>
    <w:rsid w:val="00AA1D8D"/>
    <w:rsid w:val="00B03F52"/>
    <w:rsid w:val="00B47730"/>
    <w:rsid w:val="00B65C0A"/>
    <w:rsid w:val="00B81528"/>
    <w:rsid w:val="00C754CC"/>
    <w:rsid w:val="00CB0664"/>
    <w:rsid w:val="00CC6080"/>
    <w:rsid w:val="00CD71F4"/>
    <w:rsid w:val="00D36337"/>
    <w:rsid w:val="00D622DA"/>
    <w:rsid w:val="00D740E1"/>
    <w:rsid w:val="00DD0D17"/>
    <w:rsid w:val="00DF1FBD"/>
    <w:rsid w:val="00E00FD8"/>
    <w:rsid w:val="00F01A3B"/>
    <w:rsid w:val="00F01BF8"/>
    <w:rsid w:val="00FC693F"/>
    <w:rsid w:val="00FD7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CB1B"/>
  <w14:defaultImageDpi w14:val="300"/>
  <w15:docId w15:val="{868D8833-9588-4F03-9645-ED5B4581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B1A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00F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0F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93734">
      <w:bodyDiv w:val="1"/>
      <w:marLeft w:val="0"/>
      <w:marRight w:val="0"/>
      <w:marTop w:val="0"/>
      <w:marBottom w:val="0"/>
      <w:divBdr>
        <w:top w:val="none" w:sz="0" w:space="0" w:color="auto"/>
        <w:left w:val="none" w:sz="0" w:space="0" w:color="auto"/>
        <w:bottom w:val="none" w:sz="0" w:space="0" w:color="auto"/>
        <w:right w:val="none" w:sz="0" w:space="0" w:color="auto"/>
      </w:divBdr>
    </w:div>
    <w:div w:id="433945698">
      <w:bodyDiv w:val="1"/>
      <w:marLeft w:val="0"/>
      <w:marRight w:val="0"/>
      <w:marTop w:val="0"/>
      <w:marBottom w:val="0"/>
      <w:divBdr>
        <w:top w:val="none" w:sz="0" w:space="0" w:color="auto"/>
        <w:left w:val="none" w:sz="0" w:space="0" w:color="auto"/>
        <w:bottom w:val="none" w:sz="0" w:space="0" w:color="auto"/>
        <w:right w:val="none" w:sz="0" w:space="0" w:color="auto"/>
      </w:divBdr>
    </w:div>
    <w:div w:id="651567048">
      <w:bodyDiv w:val="1"/>
      <w:marLeft w:val="0"/>
      <w:marRight w:val="0"/>
      <w:marTop w:val="0"/>
      <w:marBottom w:val="0"/>
      <w:divBdr>
        <w:top w:val="none" w:sz="0" w:space="0" w:color="auto"/>
        <w:left w:val="none" w:sz="0" w:space="0" w:color="auto"/>
        <w:bottom w:val="none" w:sz="0" w:space="0" w:color="auto"/>
        <w:right w:val="none" w:sz="0" w:space="0" w:color="auto"/>
      </w:divBdr>
    </w:div>
    <w:div w:id="976297475">
      <w:bodyDiv w:val="1"/>
      <w:marLeft w:val="0"/>
      <w:marRight w:val="0"/>
      <w:marTop w:val="0"/>
      <w:marBottom w:val="0"/>
      <w:divBdr>
        <w:top w:val="none" w:sz="0" w:space="0" w:color="auto"/>
        <w:left w:val="none" w:sz="0" w:space="0" w:color="auto"/>
        <w:bottom w:val="none" w:sz="0" w:space="0" w:color="auto"/>
        <w:right w:val="none" w:sz="0" w:space="0" w:color="auto"/>
      </w:divBdr>
    </w:div>
    <w:div w:id="1206023593">
      <w:bodyDiv w:val="1"/>
      <w:marLeft w:val="0"/>
      <w:marRight w:val="0"/>
      <w:marTop w:val="0"/>
      <w:marBottom w:val="0"/>
      <w:divBdr>
        <w:top w:val="none" w:sz="0" w:space="0" w:color="auto"/>
        <w:left w:val="none" w:sz="0" w:space="0" w:color="auto"/>
        <w:bottom w:val="none" w:sz="0" w:space="0" w:color="auto"/>
        <w:right w:val="none" w:sz="0" w:space="0" w:color="auto"/>
      </w:divBdr>
    </w:div>
    <w:div w:id="1262907739">
      <w:bodyDiv w:val="1"/>
      <w:marLeft w:val="0"/>
      <w:marRight w:val="0"/>
      <w:marTop w:val="0"/>
      <w:marBottom w:val="0"/>
      <w:divBdr>
        <w:top w:val="none" w:sz="0" w:space="0" w:color="auto"/>
        <w:left w:val="none" w:sz="0" w:space="0" w:color="auto"/>
        <w:bottom w:val="none" w:sz="0" w:space="0" w:color="auto"/>
        <w:right w:val="none" w:sz="0" w:space="0" w:color="auto"/>
      </w:divBdr>
    </w:div>
    <w:div w:id="1315571094">
      <w:bodyDiv w:val="1"/>
      <w:marLeft w:val="0"/>
      <w:marRight w:val="0"/>
      <w:marTop w:val="0"/>
      <w:marBottom w:val="0"/>
      <w:divBdr>
        <w:top w:val="none" w:sz="0" w:space="0" w:color="auto"/>
        <w:left w:val="none" w:sz="0" w:space="0" w:color="auto"/>
        <w:bottom w:val="none" w:sz="0" w:space="0" w:color="auto"/>
        <w:right w:val="none" w:sz="0" w:space="0" w:color="auto"/>
      </w:divBdr>
    </w:div>
    <w:div w:id="1759449147">
      <w:bodyDiv w:val="1"/>
      <w:marLeft w:val="0"/>
      <w:marRight w:val="0"/>
      <w:marTop w:val="0"/>
      <w:marBottom w:val="0"/>
      <w:divBdr>
        <w:top w:val="none" w:sz="0" w:space="0" w:color="auto"/>
        <w:left w:val="none" w:sz="0" w:space="0" w:color="auto"/>
        <w:bottom w:val="none" w:sz="0" w:space="0" w:color="auto"/>
        <w:right w:val="none" w:sz="0" w:space="0" w:color="auto"/>
      </w:divBdr>
    </w:div>
    <w:div w:id="1880435502">
      <w:bodyDiv w:val="1"/>
      <w:marLeft w:val="0"/>
      <w:marRight w:val="0"/>
      <w:marTop w:val="0"/>
      <w:marBottom w:val="0"/>
      <w:divBdr>
        <w:top w:val="none" w:sz="0" w:space="0" w:color="auto"/>
        <w:left w:val="none" w:sz="0" w:space="0" w:color="auto"/>
        <w:bottom w:val="none" w:sz="0" w:space="0" w:color="auto"/>
        <w:right w:val="none" w:sz="0" w:space="0" w:color="auto"/>
      </w:divBdr>
    </w:div>
    <w:div w:id="1881161027">
      <w:bodyDiv w:val="1"/>
      <w:marLeft w:val="0"/>
      <w:marRight w:val="0"/>
      <w:marTop w:val="0"/>
      <w:marBottom w:val="0"/>
      <w:divBdr>
        <w:top w:val="none" w:sz="0" w:space="0" w:color="auto"/>
        <w:left w:val="none" w:sz="0" w:space="0" w:color="auto"/>
        <w:bottom w:val="none" w:sz="0" w:space="0" w:color="auto"/>
        <w:right w:val="none" w:sz="0" w:space="0" w:color="auto"/>
      </w:divBdr>
    </w:div>
    <w:div w:id="188779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497B2-6F45-4EA4-B465-3FE6A025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3923</Words>
  <Characters>21577</Characters>
  <Application>Microsoft Office Word</Application>
  <DocSecurity>0</DocSecurity>
  <Lines>179</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MSPyBS</cp:lastModifiedBy>
  <cp:revision>7</cp:revision>
  <cp:lastPrinted>2026-01-12T11:54:00Z</cp:lastPrinted>
  <dcterms:created xsi:type="dcterms:W3CDTF">2026-01-06T14:08:00Z</dcterms:created>
  <dcterms:modified xsi:type="dcterms:W3CDTF">2026-01-12T11:55:00Z</dcterms:modified>
  <cp:category/>
</cp:coreProperties>
</file>