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0E6925A" w14:textId="557208C9" w:rsidR="00123354" w:rsidRDefault="00123354" w:rsidP="00123354">
      <w:r>
        <w:rPr>
          <w:noProof/>
        </w:rPr>
        <w:drawing>
          <wp:anchor distT="0" distB="0" distL="114300" distR="114300" simplePos="0" relativeHeight="251666432" behindDoc="0" locked="0" layoutInCell="1" allowOverlap="1" wp14:anchorId="18895BBE" wp14:editId="689141B7">
            <wp:simplePos x="0" y="0"/>
            <wp:positionH relativeFrom="page">
              <wp:align>right</wp:align>
            </wp:positionH>
            <wp:positionV relativeFrom="paragraph">
              <wp:posOffset>-900333</wp:posOffset>
            </wp:positionV>
            <wp:extent cx="7751298" cy="10049346"/>
            <wp:effectExtent l="0" t="0" r="254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51298" cy="100493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4590E5" w14:textId="73174A71" w:rsidR="00A71E81" w:rsidRDefault="00A71E81">
      <w:pPr>
        <w:spacing w:after="0" w:line="360" w:lineRule="auto"/>
        <w:ind w:left="1276" w:hanging="482"/>
        <w:jc w:val="both"/>
      </w:pPr>
    </w:p>
    <w:p w14:paraId="1CC09EC7" w14:textId="77777777" w:rsidR="00A71E81" w:rsidRDefault="00A71E81">
      <w:pPr>
        <w:spacing w:after="0" w:line="360" w:lineRule="auto"/>
        <w:ind w:left="1276" w:hanging="482"/>
        <w:jc w:val="both"/>
      </w:pPr>
    </w:p>
    <w:p w14:paraId="1FEA0672" w14:textId="77777777" w:rsidR="00F2073F" w:rsidRDefault="00F2073F" w:rsidP="00A71E81">
      <w:pPr>
        <w:spacing w:after="0" w:line="360" w:lineRule="auto"/>
        <w:jc w:val="both"/>
      </w:pPr>
    </w:p>
    <w:p w14:paraId="1AE7AF8C" w14:textId="79BE1810" w:rsidR="00F2073F" w:rsidRDefault="00F2073F">
      <w:pPr>
        <w:spacing w:after="0" w:line="360" w:lineRule="auto"/>
        <w:ind w:left="1276" w:hanging="482"/>
        <w:jc w:val="both"/>
      </w:pPr>
    </w:p>
    <w:p w14:paraId="6FF0D510" w14:textId="77777777" w:rsidR="00EE414C" w:rsidRDefault="00EE414C" w:rsidP="00F2073F">
      <w:pPr>
        <w:spacing w:after="0" w:line="360" w:lineRule="auto"/>
        <w:jc w:val="both"/>
      </w:pPr>
    </w:p>
    <w:p w14:paraId="54895D21" w14:textId="12C7F22C" w:rsidR="00A4080D" w:rsidRPr="000A36F5" w:rsidRDefault="00947A62" w:rsidP="00256BD9">
      <w:pPr>
        <w:rPr>
          <w:rFonts w:ascii="Arial" w:hAnsi="Arial" w:cs="Arial"/>
          <w:color w:val="808080"/>
          <w:sz w:val="72"/>
          <w:szCs w:val="72"/>
          <w:highlight w:val="yellow"/>
          <w:lang w:val="es-AR"/>
        </w:rPr>
      </w:pPr>
      <w:r>
        <w:rPr>
          <w:noProof/>
        </w:rPr>
        <mc:AlternateContent>
          <mc:Choice Requires="wps">
            <w:drawing>
              <wp:anchor distT="45720" distB="45720" distL="114300" distR="114300" simplePos="0" relativeHeight="251667456" behindDoc="0" locked="0" layoutInCell="1" allowOverlap="1" wp14:anchorId="27930471" wp14:editId="629353C9">
                <wp:simplePos x="0" y="0"/>
                <wp:positionH relativeFrom="column">
                  <wp:posOffset>-546735</wp:posOffset>
                </wp:positionH>
                <wp:positionV relativeFrom="paragraph">
                  <wp:posOffset>776605</wp:posOffset>
                </wp:positionV>
                <wp:extent cx="5772150" cy="126555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265555"/>
                        </a:xfrm>
                        <a:prstGeom prst="rect">
                          <a:avLst/>
                        </a:prstGeom>
                        <a:noFill/>
                        <a:ln w="9525">
                          <a:noFill/>
                          <a:miter lim="800000"/>
                          <a:headEnd/>
                          <a:tailEnd/>
                        </a:ln>
                      </wps:spPr>
                      <wps:txbx>
                        <w:txbxContent>
                          <w:tbl>
                            <w:tblPr>
                              <w:tblStyle w:val="Tablaconcuadrcula"/>
                              <w:tblW w:w="882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right w:w="0" w:type="dxa"/>
                              </w:tblCellMar>
                              <w:tblLook w:val="04A0" w:firstRow="1" w:lastRow="0" w:firstColumn="1" w:lastColumn="0" w:noHBand="0" w:noVBand="1"/>
                            </w:tblPr>
                            <w:tblGrid>
                              <w:gridCol w:w="4414"/>
                              <w:gridCol w:w="4414"/>
                            </w:tblGrid>
                            <w:tr w:rsidR="00123354" w:rsidRPr="006C7BA3" w14:paraId="2DE36909" w14:textId="77777777" w:rsidTr="004B3D35">
                              <w:trPr>
                                <w:trHeight w:val="994"/>
                              </w:trPr>
                              <w:tc>
                                <w:tcPr>
                                  <w:tcW w:w="8828" w:type="dxa"/>
                                  <w:gridSpan w:val="2"/>
                                  <w:tcBorders>
                                    <w:bottom w:val="single" w:sz="18" w:space="0" w:color="3366FF"/>
                                  </w:tcBorders>
                                </w:tcPr>
                                <w:p w14:paraId="2951457C" w14:textId="4BDCD3A0" w:rsidR="00123354" w:rsidRPr="006C7BA3" w:rsidRDefault="00123354" w:rsidP="004B3D35">
                                  <w:pPr>
                                    <w:rPr>
                                      <w:b/>
                                      <w:bCs/>
                                    </w:rPr>
                                  </w:pPr>
                                  <w:r w:rsidRPr="006C7BA3">
                                    <w:rPr>
                                      <w:b/>
                                      <w:bCs/>
                                      <w:sz w:val="44"/>
                                    </w:rPr>
                                    <w:t>Ministerio de Salud Pública y Bienestar Soc</w:t>
                                  </w:r>
                                  <w:r w:rsidR="00947A62">
                                    <w:rPr>
                                      <w:b/>
                                      <w:bCs/>
                                      <w:sz w:val="44"/>
                                    </w:rPr>
                                    <w:t>ia</w:t>
                                  </w:r>
                                  <w:r w:rsidRPr="006C7BA3">
                                    <w:rPr>
                                      <w:b/>
                                      <w:bCs/>
                                      <w:sz w:val="44"/>
                                    </w:rPr>
                                    <w:t>l</w:t>
                                  </w:r>
                                </w:p>
                              </w:tc>
                            </w:tr>
                            <w:tr w:rsidR="00123354" w14:paraId="6FC3747A" w14:textId="77777777" w:rsidTr="004B3D35">
                              <w:tc>
                                <w:tcPr>
                                  <w:tcW w:w="4414" w:type="dxa"/>
                                  <w:tcBorders>
                                    <w:top w:val="single" w:sz="18" w:space="0" w:color="3366FF"/>
                                  </w:tcBorders>
                                </w:tcPr>
                                <w:p w14:paraId="3F54D243" w14:textId="6D93EA6A" w:rsidR="006C7BA3" w:rsidRPr="006C7BA3" w:rsidRDefault="006C7BA3" w:rsidP="006C7BA3">
                                  <w:pPr>
                                    <w:rPr>
                                      <w:sz w:val="52"/>
                                    </w:rPr>
                                  </w:pPr>
                                  <w:r w:rsidRPr="006C7BA3">
                                    <w:rPr>
                                      <w:sz w:val="52"/>
                                    </w:rPr>
                                    <w:t>AÑO 2025</w:t>
                                  </w:r>
                                </w:p>
                                <w:p w14:paraId="4A576474" w14:textId="77777777" w:rsidR="00123354" w:rsidRDefault="00123354" w:rsidP="009A6F31"/>
                              </w:tc>
                              <w:tc>
                                <w:tcPr>
                                  <w:tcW w:w="4414" w:type="dxa"/>
                                  <w:tcBorders>
                                    <w:top w:val="single" w:sz="18" w:space="0" w:color="3366FF"/>
                                  </w:tcBorders>
                                </w:tcPr>
                                <w:p w14:paraId="15B58531" w14:textId="77777777" w:rsidR="00123354" w:rsidRDefault="00123354" w:rsidP="009A6F31"/>
                              </w:tc>
                            </w:tr>
                          </w:tbl>
                          <w:p w14:paraId="385857B1" w14:textId="77777777" w:rsidR="00123354" w:rsidRPr="009A6F31" w:rsidRDefault="00123354" w:rsidP="00123354">
                            <w:pPr>
                              <w:rPr>
                                <w:sz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930471" id="_x0000_t202" coordsize="21600,21600" o:spt="202" path="m,l,21600r21600,l21600,xe">
                <v:stroke joinstyle="miter"/>
                <v:path gradientshapeok="t" o:connecttype="rect"/>
              </v:shapetype>
              <v:shape id="Cuadro de texto 2" o:spid="_x0000_s1026" type="#_x0000_t202" style="position:absolute;margin-left:-43.05pt;margin-top:61.15pt;width:454.5pt;height:99.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w79gEAAM4DAAAOAAAAZHJzL2Uyb0RvYy54bWysU9Fu2yAUfZ+0f0C8L46tuGmtOFXXrtOk&#10;rpvU9QMwxjEacBmQ2NnX74LdNNreqvGAgAvn3nPuYXM9akUOwnkJpqb5YkmJMBxaaXY1ff5x/+GS&#10;Eh+YaZkCI2p6FJ5eb9+/2wy2EgX0oFrhCIIYXw22pn0Itsoyz3uhmV+AFQaDHTjNAm7dLmsdGxBd&#10;q6xYLi+yAVxrHXDhPZ7eTUG6TfhdJ3j41nVeBKJqirWFNLs0N3HOthtW7RyzveRzGewNVWgmDSY9&#10;Qd2xwMjeyX+gtOQOPHRhwUFn0HWSi8QB2eTLv9g89cyKxAXF8fYkk/9/sPzx8GS/OxLGjzBiAxMJ&#10;bx+A//TEwG3PzE7cOAdDL1iLifMoWTZYX81Po9S+8hGkGb5Ci01m+wAJaOycjqogT4Lo2IDjSXQx&#10;BsLxsFyvi7zEEMdYXlyUOFIOVr08t86HzwI0iYuaOuxqgmeHBx9iOax6uRKzGbiXSqXOKkOGml6V&#10;RZkenEW0DGg8JXVNL5dxTFaILD+ZNj0OTKppjQmUmWlHphPnMDYjXoz0G2iPKICDyWD4IXDRg/tN&#10;yYDmqqn/tWdOUKK+GBTxKl+tohvTZlWuC9y480hzHmGGI1RNAyXT8jYkB09cb1DsTiYZXiuZa0XT&#10;JHVmg0dXnu/TrddvuP0DAAD//wMAUEsDBBQABgAIAAAAIQAtDUm23wAAAAsBAAAPAAAAZHJzL2Rv&#10;d25yZXYueG1sTI/LTsMwEEX3SPyDNUjsWjsuRGkap0IgtiDKQ+rOTaZJRDyOYrcJf8+wosvRPbr3&#10;TLGdXS/OOIbOk4FkqUAgVb7uqDHw8f68yECEaKm2vSc08IMBtuX1VWHz2k/0huddbASXUMitgTbG&#10;IZcyVC06G5Z+QOLs6EdnI59jI+vRTlzueqmVSqWzHfFCawd8bLH63p2cgc+X4/7rTr02T+5+mPys&#10;JLm1NOb2Zn7YgIg4x38Y/vRZHUp2OvgT1UH0BhZZmjDKgdYrEExkWq9BHAysdJKCLAt5+UP5CwAA&#10;//8DAFBLAQItABQABgAIAAAAIQC2gziS/gAAAOEBAAATAAAAAAAAAAAAAAAAAAAAAABbQ29udGVu&#10;dF9UeXBlc10ueG1sUEsBAi0AFAAGAAgAAAAhADj9If/WAAAAlAEAAAsAAAAAAAAAAAAAAAAALwEA&#10;AF9yZWxzLy5yZWxzUEsBAi0AFAAGAAgAAAAhALGVnDv2AQAAzgMAAA4AAAAAAAAAAAAAAAAALgIA&#10;AGRycy9lMm9Eb2MueG1sUEsBAi0AFAAGAAgAAAAhAC0NSbbfAAAACwEAAA8AAAAAAAAAAAAAAAAA&#10;UAQAAGRycy9kb3ducmV2LnhtbFBLBQYAAAAABAAEAPMAAABcBQAAAAA=&#10;" filled="f" stroked="f">
                <v:textbox>
                  <w:txbxContent>
                    <w:tbl>
                      <w:tblPr>
                        <w:tblStyle w:val="Tablaconcuadrcula"/>
                        <w:tblW w:w="882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right w:w="0" w:type="dxa"/>
                        </w:tblCellMar>
                        <w:tblLook w:val="04A0" w:firstRow="1" w:lastRow="0" w:firstColumn="1" w:lastColumn="0" w:noHBand="0" w:noVBand="1"/>
                      </w:tblPr>
                      <w:tblGrid>
                        <w:gridCol w:w="4414"/>
                        <w:gridCol w:w="4414"/>
                      </w:tblGrid>
                      <w:tr w:rsidR="00123354" w:rsidRPr="006C7BA3" w14:paraId="2DE36909" w14:textId="77777777" w:rsidTr="004B3D35">
                        <w:trPr>
                          <w:trHeight w:val="994"/>
                        </w:trPr>
                        <w:tc>
                          <w:tcPr>
                            <w:tcW w:w="8828" w:type="dxa"/>
                            <w:gridSpan w:val="2"/>
                            <w:tcBorders>
                              <w:bottom w:val="single" w:sz="18" w:space="0" w:color="3366FF"/>
                            </w:tcBorders>
                          </w:tcPr>
                          <w:p w14:paraId="2951457C" w14:textId="4BDCD3A0" w:rsidR="00123354" w:rsidRPr="006C7BA3" w:rsidRDefault="00123354" w:rsidP="004B3D35">
                            <w:pPr>
                              <w:rPr>
                                <w:b/>
                                <w:bCs/>
                              </w:rPr>
                            </w:pPr>
                            <w:r w:rsidRPr="006C7BA3">
                              <w:rPr>
                                <w:b/>
                                <w:bCs/>
                                <w:sz w:val="44"/>
                              </w:rPr>
                              <w:t>Ministerio de Salud Pública y Bienestar Soc</w:t>
                            </w:r>
                            <w:r w:rsidR="00947A62">
                              <w:rPr>
                                <w:b/>
                                <w:bCs/>
                                <w:sz w:val="44"/>
                              </w:rPr>
                              <w:t>ia</w:t>
                            </w:r>
                            <w:r w:rsidRPr="006C7BA3">
                              <w:rPr>
                                <w:b/>
                                <w:bCs/>
                                <w:sz w:val="44"/>
                              </w:rPr>
                              <w:t>l</w:t>
                            </w:r>
                          </w:p>
                        </w:tc>
                      </w:tr>
                      <w:tr w:rsidR="00123354" w14:paraId="6FC3747A" w14:textId="77777777" w:rsidTr="004B3D35">
                        <w:tc>
                          <w:tcPr>
                            <w:tcW w:w="4414" w:type="dxa"/>
                            <w:tcBorders>
                              <w:top w:val="single" w:sz="18" w:space="0" w:color="3366FF"/>
                            </w:tcBorders>
                          </w:tcPr>
                          <w:p w14:paraId="3F54D243" w14:textId="6D93EA6A" w:rsidR="006C7BA3" w:rsidRPr="006C7BA3" w:rsidRDefault="006C7BA3" w:rsidP="006C7BA3">
                            <w:pPr>
                              <w:rPr>
                                <w:sz w:val="52"/>
                              </w:rPr>
                            </w:pPr>
                            <w:r w:rsidRPr="006C7BA3">
                              <w:rPr>
                                <w:sz w:val="52"/>
                              </w:rPr>
                              <w:t>AÑO 2025</w:t>
                            </w:r>
                          </w:p>
                          <w:p w14:paraId="4A576474" w14:textId="77777777" w:rsidR="00123354" w:rsidRDefault="00123354" w:rsidP="009A6F31"/>
                        </w:tc>
                        <w:tc>
                          <w:tcPr>
                            <w:tcW w:w="4414" w:type="dxa"/>
                            <w:tcBorders>
                              <w:top w:val="single" w:sz="18" w:space="0" w:color="3366FF"/>
                            </w:tcBorders>
                          </w:tcPr>
                          <w:p w14:paraId="15B58531" w14:textId="77777777" w:rsidR="00123354" w:rsidRDefault="00123354" w:rsidP="009A6F31"/>
                        </w:tc>
                      </w:tr>
                    </w:tbl>
                    <w:p w14:paraId="385857B1" w14:textId="77777777" w:rsidR="00123354" w:rsidRPr="009A6F31" w:rsidRDefault="00123354" w:rsidP="00123354">
                      <w:pPr>
                        <w:rPr>
                          <w:sz w:val="44"/>
                        </w:rPr>
                      </w:pPr>
                    </w:p>
                  </w:txbxContent>
                </v:textbox>
                <w10:wrap type="square"/>
              </v:shape>
            </w:pict>
          </mc:Fallback>
        </mc:AlternateContent>
      </w:r>
    </w:p>
    <w:p w14:paraId="418A77B7" w14:textId="77777777" w:rsidR="00A4080D" w:rsidRPr="000A36F5" w:rsidRDefault="00A4080D" w:rsidP="00256BD9">
      <w:pPr>
        <w:rPr>
          <w:color w:val="808080"/>
          <w:sz w:val="72"/>
          <w:szCs w:val="72"/>
          <w:highlight w:val="yellow"/>
          <w:lang w:val="es-AR"/>
        </w:rPr>
      </w:pPr>
    </w:p>
    <w:p w14:paraId="781F6ECF" w14:textId="77777777" w:rsidR="00D71B46" w:rsidRPr="00256BD9" w:rsidRDefault="00D32E52" w:rsidP="00D71B46">
      <w:pPr>
        <w:jc w:val="center"/>
        <w:rPr>
          <w:color w:val="00529C"/>
          <w:sz w:val="72"/>
          <w:szCs w:val="72"/>
          <w:lang w:val="es-AR"/>
        </w:rPr>
      </w:pPr>
      <w:r w:rsidRPr="00256BD9">
        <w:rPr>
          <w:color w:val="00529C"/>
          <w:sz w:val="72"/>
          <w:szCs w:val="72"/>
          <w:lang w:val="es-AR"/>
        </w:rPr>
        <w:t xml:space="preserve">MINISTERIO </w:t>
      </w:r>
      <w:r w:rsidR="00D71B46" w:rsidRPr="00256BD9">
        <w:rPr>
          <w:color w:val="00529C"/>
          <w:sz w:val="72"/>
          <w:szCs w:val="72"/>
          <w:lang w:val="es-AR"/>
        </w:rPr>
        <w:t>SALUD PÚBLICA Y BIENESTAR SOCIAL</w:t>
      </w:r>
    </w:p>
    <w:p w14:paraId="68EAF867" w14:textId="77777777" w:rsidR="00EE414C" w:rsidRPr="00256BD9" w:rsidRDefault="00EE414C" w:rsidP="00D71B46">
      <w:pPr>
        <w:jc w:val="center"/>
        <w:rPr>
          <w:color w:val="00529C"/>
          <w:sz w:val="72"/>
          <w:szCs w:val="72"/>
          <w:lang w:val="es-AR"/>
        </w:rPr>
      </w:pPr>
    </w:p>
    <w:p w14:paraId="19487557" w14:textId="4C5B0F7F" w:rsidR="00EE414C" w:rsidRPr="00256BD9" w:rsidRDefault="00EE414C" w:rsidP="00D71B46">
      <w:pPr>
        <w:jc w:val="center"/>
        <w:rPr>
          <w:color w:val="00529C"/>
          <w:sz w:val="72"/>
          <w:szCs w:val="72"/>
          <w:lang w:val="es-AR"/>
        </w:rPr>
      </w:pPr>
      <w:r w:rsidRPr="00256BD9">
        <w:rPr>
          <w:color w:val="00529C"/>
          <w:sz w:val="72"/>
          <w:szCs w:val="72"/>
          <w:lang w:val="es-AR"/>
        </w:rPr>
        <w:t>AÑO 202</w:t>
      </w:r>
      <w:r w:rsidR="009F4F59">
        <w:rPr>
          <w:color w:val="00529C"/>
          <w:sz w:val="72"/>
          <w:szCs w:val="72"/>
          <w:lang w:val="es-AR"/>
        </w:rPr>
        <w:t>4</w:t>
      </w:r>
    </w:p>
    <w:p w14:paraId="0BCA4FFE" w14:textId="77777777" w:rsidR="00D32E52" w:rsidRPr="003E0E9E" w:rsidRDefault="00D32E52" w:rsidP="00D32E52">
      <w:pPr>
        <w:jc w:val="center"/>
        <w:rPr>
          <w:color w:val="002467"/>
          <w:sz w:val="72"/>
          <w:szCs w:val="72"/>
          <w:lang w:val="es-AR"/>
        </w:rPr>
      </w:pPr>
    </w:p>
    <w:p w14:paraId="4D2EBA79" w14:textId="77777777" w:rsidR="00CF4431" w:rsidRPr="000A36F5" w:rsidRDefault="00CF4431" w:rsidP="00364B86">
      <w:pPr>
        <w:rPr>
          <w:rFonts w:eastAsiaTheme="majorEastAsia"/>
          <w:sz w:val="56"/>
          <w:szCs w:val="72"/>
          <w:highlight w:val="yellow"/>
        </w:rPr>
        <w:sectPr w:rsidR="00CF4431" w:rsidRPr="000A36F5" w:rsidSect="0098180E">
          <w:headerReference w:type="even" r:id="rId10"/>
          <w:headerReference w:type="default" r:id="rId11"/>
          <w:footerReference w:type="even" r:id="rId12"/>
          <w:footerReference w:type="default" r:id="rId13"/>
          <w:headerReference w:type="first" r:id="rId14"/>
          <w:pgSz w:w="12242" w:h="15842" w:code="1"/>
          <w:pgMar w:top="1418" w:right="1276" w:bottom="1418" w:left="1701" w:header="709" w:footer="709" w:gutter="0"/>
          <w:pgNumType w:start="0"/>
          <w:cols w:space="708"/>
          <w:titlePg/>
          <w:docGrid w:linePitch="360"/>
        </w:sectPr>
      </w:pPr>
    </w:p>
    <w:p w14:paraId="4DE6FDF9" w14:textId="77777777" w:rsidR="00C811DC" w:rsidRPr="004C4EF5" w:rsidRDefault="00C811DC" w:rsidP="00C811DC">
      <w:pPr>
        <w:spacing w:before="120" w:after="0" w:line="240" w:lineRule="auto"/>
        <w:jc w:val="center"/>
        <w:rPr>
          <w:b/>
          <w:color w:val="00529C"/>
          <w:sz w:val="24"/>
          <w:szCs w:val="24"/>
        </w:rPr>
      </w:pPr>
      <w:r w:rsidRPr="004C4EF5">
        <w:rPr>
          <w:b/>
          <w:color w:val="00529C"/>
          <w:sz w:val="24"/>
          <w:szCs w:val="24"/>
        </w:rPr>
        <w:lastRenderedPageBreak/>
        <w:t>ÍNDICE</w:t>
      </w:r>
    </w:p>
    <w:sdt>
      <w:sdtPr>
        <w:rPr>
          <w:rFonts w:ascii="Times New Roman" w:eastAsiaTheme="minorHAnsi" w:hAnsi="Times New Roman" w:cs="Times New Roman"/>
          <w:b w:val="0"/>
          <w:bCs w:val="0"/>
          <w:color w:val="auto"/>
          <w:sz w:val="20"/>
          <w:szCs w:val="20"/>
          <w:lang w:eastAsia="en-US"/>
        </w:rPr>
        <w:id w:val="-138040702"/>
        <w:docPartObj>
          <w:docPartGallery w:val="Table of Contents"/>
          <w:docPartUnique/>
        </w:docPartObj>
      </w:sdtPr>
      <w:sdtContent>
        <w:p w14:paraId="31AA07D5" w14:textId="3F28F54E" w:rsidR="00C811DC" w:rsidRDefault="00C811DC" w:rsidP="00C811DC">
          <w:pPr>
            <w:pStyle w:val="TtuloTDC"/>
            <w:spacing w:before="120" w:line="240" w:lineRule="auto"/>
            <w:ind w:left="432" w:hanging="432"/>
            <w:rPr>
              <w:rFonts w:ascii="Times New Roman" w:hAnsi="Times New Roman" w:cs="Times New Roman"/>
              <w:color w:val="00529C"/>
              <w:sz w:val="24"/>
              <w:szCs w:val="24"/>
            </w:rPr>
          </w:pPr>
          <w:r w:rsidRPr="004C4EF5">
            <w:rPr>
              <w:rFonts w:ascii="Times New Roman" w:hAnsi="Times New Roman" w:cs="Times New Roman"/>
              <w:color w:val="00529C"/>
              <w:sz w:val="24"/>
              <w:szCs w:val="24"/>
            </w:rPr>
            <w:t>Contenido</w:t>
          </w:r>
        </w:p>
        <w:p w14:paraId="21578435" w14:textId="77777777" w:rsidR="004C4EF5" w:rsidRPr="004C4EF5" w:rsidRDefault="004C4EF5" w:rsidP="004C4EF5">
          <w:pPr>
            <w:rPr>
              <w:lang w:eastAsia="es-PY"/>
            </w:rPr>
          </w:pPr>
        </w:p>
        <w:p w14:paraId="7CDDA35C" w14:textId="6CF5E290" w:rsidR="009B6507" w:rsidRDefault="00C811DC">
          <w:pPr>
            <w:pStyle w:val="TDC1"/>
            <w:tabs>
              <w:tab w:val="right" w:leader="dot" w:pos="8830"/>
            </w:tabs>
            <w:rPr>
              <w:rFonts w:asciiTheme="minorHAnsi" w:eastAsiaTheme="minorEastAsia" w:hAnsiTheme="minorHAnsi" w:cstheme="minorBidi"/>
              <w:noProof/>
              <w:kern w:val="2"/>
              <w:sz w:val="24"/>
              <w:szCs w:val="24"/>
              <w:lang w:val="es-PY" w:eastAsia="es-PY"/>
              <w14:ligatures w14:val="standardContextual"/>
            </w:rPr>
          </w:pPr>
          <w:r w:rsidRPr="00111A23">
            <w:rPr>
              <w:bCs/>
              <w:szCs w:val="20"/>
            </w:rPr>
            <w:fldChar w:fldCharType="begin"/>
          </w:r>
          <w:r w:rsidRPr="00111A23">
            <w:rPr>
              <w:bCs/>
              <w:szCs w:val="20"/>
            </w:rPr>
            <w:instrText xml:space="preserve"> TOC \o "1-4" \h \z \u </w:instrText>
          </w:r>
          <w:r w:rsidRPr="00111A23">
            <w:rPr>
              <w:bCs/>
              <w:szCs w:val="20"/>
            </w:rPr>
            <w:fldChar w:fldCharType="separate"/>
          </w:r>
          <w:hyperlink w:anchor="_Toc220402577" w:history="1">
            <w:r w:rsidR="009B6507" w:rsidRPr="00A24475">
              <w:rPr>
                <w:rStyle w:val="Hipervnculo"/>
                <w:noProof/>
                <w:lang w:val="es-PY"/>
              </w:rPr>
              <w:t>SIGLAS</w:t>
            </w:r>
            <w:r w:rsidR="009B6507">
              <w:rPr>
                <w:noProof/>
                <w:webHidden/>
              </w:rPr>
              <w:tab/>
            </w:r>
            <w:r w:rsidR="009B6507">
              <w:rPr>
                <w:noProof/>
                <w:webHidden/>
              </w:rPr>
              <w:fldChar w:fldCharType="begin"/>
            </w:r>
            <w:r w:rsidR="009B6507">
              <w:rPr>
                <w:noProof/>
                <w:webHidden/>
              </w:rPr>
              <w:instrText xml:space="preserve"> PAGEREF _Toc220402577 \h </w:instrText>
            </w:r>
            <w:r w:rsidR="009B6507">
              <w:rPr>
                <w:noProof/>
                <w:webHidden/>
              </w:rPr>
            </w:r>
            <w:r w:rsidR="009B6507">
              <w:rPr>
                <w:noProof/>
                <w:webHidden/>
              </w:rPr>
              <w:fldChar w:fldCharType="separate"/>
            </w:r>
            <w:r w:rsidR="001E23DA">
              <w:rPr>
                <w:noProof/>
                <w:webHidden/>
              </w:rPr>
              <w:t>3</w:t>
            </w:r>
            <w:r w:rsidR="009B6507">
              <w:rPr>
                <w:noProof/>
                <w:webHidden/>
              </w:rPr>
              <w:fldChar w:fldCharType="end"/>
            </w:r>
          </w:hyperlink>
        </w:p>
        <w:p w14:paraId="5DD1014C" w14:textId="343F15CB" w:rsidR="009B6507" w:rsidRDefault="009B6507">
          <w:pPr>
            <w:pStyle w:val="TDC1"/>
            <w:tabs>
              <w:tab w:val="right" w:leader="dot" w:pos="8830"/>
            </w:tabs>
            <w:rPr>
              <w:rFonts w:asciiTheme="minorHAnsi" w:eastAsiaTheme="minorEastAsia" w:hAnsiTheme="minorHAnsi" w:cstheme="minorBidi"/>
              <w:noProof/>
              <w:kern w:val="2"/>
              <w:sz w:val="24"/>
              <w:szCs w:val="24"/>
              <w:lang w:val="es-PY" w:eastAsia="es-PY"/>
              <w14:ligatures w14:val="standardContextual"/>
            </w:rPr>
          </w:pPr>
          <w:hyperlink w:anchor="_Toc220402578" w:history="1">
            <w:r w:rsidRPr="00A24475">
              <w:rPr>
                <w:rStyle w:val="Hipervnculo"/>
                <w:noProof/>
                <w:lang w:val="es-PY"/>
              </w:rPr>
              <w:t>GLOSARIO DE TÉRMINOS</w:t>
            </w:r>
            <w:r>
              <w:rPr>
                <w:noProof/>
                <w:webHidden/>
              </w:rPr>
              <w:tab/>
            </w:r>
            <w:r>
              <w:rPr>
                <w:noProof/>
                <w:webHidden/>
              </w:rPr>
              <w:fldChar w:fldCharType="begin"/>
            </w:r>
            <w:r>
              <w:rPr>
                <w:noProof/>
                <w:webHidden/>
              </w:rPr>
              <w:instrText xml:space="preserve"> PAGEREF _Toc220402578 \h </w:instrText>
            </w:r>
            <w:r>
              <w:rPr>
                <w:noProof/>
                <w:webHidden/>
              </w:rPr>
            </w:r>
            <w:r>
              <w:rPr>
                <w:noProof/>
                <w:webHidden/>
              </w:rPr>
              <w:fldChar w:fldCharType="separate"/>
            </w:r>
            <w:r w:rsidR="001E23DA">
              <w:rPr>
                <w:noProof/>
                <w:webHidden/>
              </w:rPr>
              <w:t>4</w:t>
            </w:r>
            <w:r>
              <w:rPr>
                <w:noProof/>
                <w:webHidden/>
              </w:rPr>
              <w:fldChar w:fldCharType="end"/>
            </w:r>
          </w:hyperlink>
        </w:p>
        <w:p w14:paraId="362BAAA2" w14:textId="2789AC88" w:rsidR="009B6507" w:rsidRDefault="009B6507">
          <w:pPr>
            <w:pStyle w:val="TDC1"/>
            <w:tabs>
              <w:tab w:val="right" w:leader="dot" w:pos="8830"/>
            </w:tabs>
            <w:rPr>
              <w:rFonts w:asciiTheme="minorHAnsi" w:eastAsiaTheme="minorEastAsia" w:hAnsiTheme="minorHAnsi" w:cstheme="minorBidi"/>
              <w:noProof/>
              <w:kern w:val="2"/>
              <w:sz w:val="24"/>
              <w:szCs w:val="24"/>
              <w:lang w:val="es-PY" w:eastAsia="es-PY"/>
              <w14:ligatures w14:val="standardContextual"/>
            </w:rPr>
          </w:pPr>
          <w:hyperlink w:anchor="_Toc220402579" w:history="1">
            <w:r w:rsidRPr="00A24475">
              <w:rPr>
                <w:rStyle w:val="Hipervnculo"/>
                <w:noProof/>
                <w:lang w:val="es-PY"/>
              </w:rPr>
              <w:t>PRESENTACIÓN</w:t>
            </w:r>
            <w:r>
              <w:rPr>
                <w:noProof/>
                <w:webHidden/>
              </w:rPr>
              <w:tab/>
            </w:r>
            <w:r>
              <w:rPr>
                <w:noProof/>
                <w:webHidden/>
              </w:rPr>
              <w:fldChar w:fldCharType="begin"/>
            </w:r>
            <w:r>
              <w:rPr>
                <w:noProof/>
                <w:webHidden/>
              </w:rPr>
              <w:instrText xml:space="preserve"> PAGEREF _Toc220402579 \h </w:instrText>
            </w:r>
            <w:r>
              <w:rPr>
                <w:noProof/>
                <w:webHidden/>
              </w:rPr>
            </w:r>
            <w:r>
              <w:rPr>
                <w:noProof/>
                <w:webHidden/>
              </w:rPr>
              <w:fldChar w:fldCharType="separate"/>
            </w:r>
            <w:r w:rsidR="001E23DA">
              <w:rPr>
                <w:noProof/>
                <w:webHidden/>
              </w:rPr>
              <w:t>5</w:t>
            </w:r>
            <w:r>
              <w:rPr>
                <w:noProof/>
                <w:webHidden/>
              </w:rPr>
              <w:fldChar w:fldCharType="end"/>
            </w:r>
          </w:hyperlink>
        </w:p>
        <w:p w14:paraId="443DE384" w14:textId="63A36FBC" w:rsidR="009B6507" w:rsidRDefault="009B6507">
          <w:pPr>
            <w:pStyle w:val="TDC1"/>
            <w:tabs>
              <w:tab w:val="left" w:pos="660"/>
              <w:tab w:val="right" w:leader="dot" w:pos="8830"/>
            </w:tabs>
            <w:rPr>
              <w:rFonts w:asciiTheme="minorHAnsi" w:eastAsiaTheme="minorEastAsia" w:hAnsiTheme="minorHAnsi" w:cstheme="minorBidi"/>
              <w:noProof/>
              <w:kern w:val="2"/>
              <w:sz w:val="24"/>
              <w:szCs w:val="24"/>
              <w:lang w:val="es-PY" w:eastAsia="es-PY"/>
              <w14:ligatures w14:val="standardContextual"/>
            </w:rPr>
          </w:pPr>
          <w:hyperlink w:anchor="_Toc220402580" w:history="1">
            <w:r w:rsidRPr="00A24475">
              <w:rPr>
                <w:rStyle w:val="Hipervnculo"/>
                <w:noProof/>
              </w:rPr>
              <w:t>I</w:t>
            </w:r>
            <w:r>
              <w:rPr>
                <w:rFonts w:asciiTheme="minorHAnsi" w:eastAsiaTheme="minorEastAsia" w:hAnsiTheme="minorHAnsi" w:cstheme="minorBidi"/>
                <w:noProof/>
                <w:kern w:val="2"/>
                <w:sz w:val="24"/>
                <w:szCs w:val="24"/>
                <w:lang w:val="es-PY" w:eastAsia="es-PY"/>
                <w14:ligatures w14:val="standardContextual"/>
              </w:rPr>
              <w:tab/>
            </w:r>
            <w:r w:rsidRPr="00A24475">
              <w:rPr>
                <w:rStyle w:val="Hipervnculo"/>
                <w:noProof/>
                <w:lang w:val="es-PY"/>
              </w:rPr>
              <w:t>INTERVENCIÓN DE LA ENTIDAD</w:t>
            </w:r>
            <w:r>
              <w:rPr>
                <w:noProof/>
                <w:webHidden/>
              </w:rPr>
              <w:tab/>
            </w:r>
            <w:r>
              <w:rPr>
                <w:noProof/>
                <w:webHidden/>
              </w:rPr>
              <w:fldChar w:fldCharType="begin"/>
            </w:r>
            <w:r>
              <w:rPr>
                <w:noProof/>
                <w:webHidden/>
              </w:rPr>
              <w:instrText xml:space="preserve"> PAGEREF _Toc220402580 \h </w:instrText>
            </w:r>
            <w:r>
              <w:rPr>
                <w:noProof/>
                <w:webHidden/>
              </w:rPr>
            </w:r>
            <w:r>
              <w:rPr>
                <w:noProof/>
                <w:webHidden/>
              </w:rPr>
              <w:fldChar w:fldCharType="separate"/>
            </w:r>
            <w:r w:rsidR="001E23DA">
              <w:rPr>
                <w:noProof/>
                <w:webHidden/>
              </w:rPr>
              <w:t>6</w:t>
            </w:r>
            <w:r>
              <w:rPr>
                <w:noProof/>
                <w:webHidden/>
              </w:rPr>
              <w:fldChar w:fldCharType="end"/>
            </w:r>
          </w:hyperlink>
        </w:p>
        <w:p w14:paraId="154E108E" w14:textId="48F97928" w:rsidR="009B6507" w:rsidRDefault="009B6507">
          <w:pPr>
            <w:pStyle w:val="TDC2"/>
            <w:tabs>
              <w:tab w:val="left" w:pos="960"/>
              <w:tab w:val="right" w:leader="dot" w:pos="8830"/>
            </w:tabs>
            <w:rPr>
              <w:rFonts w:asciiTheme="minorHAnsi" w:eastAsiaTheme="minorEastAsia" w:hAnsiTheme="minorHAnsi" w:cstheme="minorBidi"/>
              <w:noProof/>
              <w:kern w:val="2"/>
              <w:sz w:val="24"/>
              <w:szCs w:val="24"/>
              <w:lang w:val="es-PY" w:eastAsia="es-PY"/>
              <w14:ligatures w14:val="standardContextual"/>
            </w:rPr>
          </w:pPr>
          <w:hyperlink w:anchor="_Toc220402581" w:history="1">
            <w:r w:rsidRPr="00A24475">
              <w:rPr>
                <w:rStyle w:val="Hipervnculo"/>
                <w:noProof/>
              </w:rPr>
              <w:t>I.1</w:t>
            </w:r>
            <w:r>
              <w:rPr>
                <w:rFonts w:asciiTheme="minorHAnsi" w:eastAsiaTheme="minorEastAsia" w:hAnsiTheme="minorHAnsi" w:cstheme="minorBidi"/>
                <w:noProof/>
                <w:kern w:val="2"/>
                <w:sz w:val="24"/>
                <w:szCs w:val="24"/>
                <w:lang w:val="es-PY" w:eastAsia="es-PY"/>
                <w14:ligatures w14:val="standardContextual"/>
              </w:rPr>
              <w:tab/>
            </w:r>
            <w:r w:rsidRPr="00A24475">
              <w:rPr>
                <w:rStyle w:val="Hipervnculo"/>
                <w:noProof/>
              </w:rPr>
              <w:t>Rol de la Entidad y su vinculación con los Planes</w:t>
            </w:r>
            <w:r>
              <w:rPr>
                <w:noProof/>
                <w:webHidden/>
              </w:rPr>
              <w:tab/>
            </w:r>
            <w:r>
              <w:rPr>
                <w:noProof/>
                <w:webHidden/>
              </w:rPr>
              <w:fldChar w:fldCharType="begin"/>
            </w:r>
            <w:r>
              <w:rPr>
                <w:noProof/>
                <w:webHidden/>
              </w:rPr>
              <w:instrText xml:space="preserve"> PAGEREF _Toc220402581 \h </w:instrText>
            </w:r>
            <w:r>
              <w:rPr>
                <w:noProof/>
                <w:webHidden/>
              </w:rPr>
            </w:r>
            <w:r>
              <w:rPr>
                <w:noProof/>
                <w:webHidden/>
              </w:rPr>
              <w:fldChar w:fldCharType="separate"/>
            </w:r>
            <w:r w:rsidR="001E23DA">
              <w:rPr>
                <w:noProof/>
                <w:webHidden/>
              </w:rPr>
              <w:t>6</w:t>
            </w:r>
            <w:r>
              <w:rPr>
                <w:noProof/>
                <w:webHidden/>
              </w:rPr>
              <w:fldChar w:fldCharType="end"/>
            </w:r>
          </w:hyperlink>
        </w:p>
        <w:p w14:paraId="6EDDC3A4" w14:textId="7FA876A0" w:rsidR="009B6507" w:rsidRDefault="009B6507">
          <w:pPr>
            <w:pStyle w:val="TDC2"/>
            <w:tabs>
              <w:tab w:val="right" w:leader="dot" w:pos="8830"/>
            </w:tabs>
            <w:rPr>
              <w:rFonts w:asciiTheme="minorHAnsi" w:eastAsiaTheme="minorEastAsia" w:hAnsiTheme="minorHAnsi" w:cstheme="minorBidi"/>
              <w:noProof/>
              <w:kern w:val="2"/>
              <w:sz w:val="24"/>
              <w:szCs w:val="24"/>
              <w:lang w:val="es-PY" w:eastAsia="es-PY"/>
              <w14:ligatures w14:val="standardContextual"/>
            </w:rPr>
          </w:pPr>
          <w:hyperlink w:anchor="_Toc220402582" w:history="1">
            <w:r w:rsidRPr="00A24475">
              <w:rPr>
                <w:rStyle w:val="Hipervnculo"/>
                <w:noProof/>
                <w:lang w:val="es-PY"/>
              </w:rPr>
              <w:t>II RESULTADOS DE LA GESTIÓN INSTITUCIONAL</w:t>
            </w:r>
            <w:r>
              <w:rPr>
                <w:noProof/>
                <w:webHidden/>
              </w:rPr>
              <w:tab/>
            </w:r>
            <w:r>
              <w:rPr>
                <w:noProof/>
                <w:webHidden/>
              </w:rPr>
              <w:fldChar w:fldCharType="begin"/>
            </w:r>
            <w:r>
              <w:rPr>
                <w:noProof/>
                <w:webHidden/>
              </w:rPr>
              <w:instrText xml:space="preserve"> PAGEREF _Toc220402582 \h </w:instrText>
            </w:r>
            <w:r>
              <w:rPr>
                <w:noProof/>
                <w:webHidden/>
              </w:rPr>
            </w:r>
            <w:r>
              <w:rPr>
                <w:noProof/>
                <w:webHidden/>
              </w:rPr>
              <w:fldChar w:fldCharType="separate"/>
            </w:r>
            <w:r w:rsidR="001E23DA">
              <w:rPr>
                <w:noProof/>
                <w:webHidden/>
              </w:rPr>
              <w:t>7</w:t>
            </w:r>
            <w:r>
              <w:rPr>
                <w:noProof/>
                <w:webHidden/>
              </w:rPr>
              <w:fldChar w:fldCharType="end"/>
            </w:r>
          </w:hyperlink>
        </w:p>
        <w:p w14:paraId="4CA7634A" w14:textId="1A65907D" w:rsidR="009B6507" w:rsidRDefault="009B6507">
          <w:pPr>
            <w:pStyle w:val="TDC2"/>
            <w:tabs>
              <w:tab w:val="left" w:pos="960"/>
              <w:tab w:val="right" w:leader="dot" w:pos="8830"/>
            </w:tabs>
            <w:rPr>
              <w:rFonts w:asciiTheme="minorHAnsi" w:eastAsiaTheme="minorEastAsia" w:hAnsiTheme="minorHAnsi" w:cstheme="minorBidi"/>
              <w:noProof/>
              <w:kern w:val="2"/>
              <w:sz w:val="24"/>
              <w:szCs w:val="24"/>
              <w:lang w:val="es-PY" w:eastAsia="es-PY"/>
              <w14:ligatures w14:val="standardContextual"/>
            </w:rPr>
          </w:pPr>
          <w:hyperlink w:anchor="_Toc220402583" w:history="1">
            <w:r w:rsidRPr="00A24475">
              <w:rPr>
                <w:rStyle w:val="Hipervnculo"/>
                <w:noProof/>
              </w:rPr>
              <w:t>II.1</w:t>
            </w:r>
            <w:r>
              <w:rPr>
                <w:rFonts w:asciiTheme="minorHAnsi" w:eastAsiaTheme="minorEastAsia" w:hAnsiTheme="minorHAnsi" w:cstheme="minorBidi"/>
                <w:noProof/>
                <w:kern w:val="2"/>
                <w:sz w:val="24"/>
                <w:szCs w:val="24"/>
                <w:lang w:val="es-PY" w:eastAsia="es-PY"/>
                <w14:ligatures w14:val="standardContextual"/>
              </w:rPr>
              <w:tab/>
            </w:r>
            <w:r w:rsidRPr="00A24475">
              <w:rPr>
                <w:rStyle w:val="Hipervnculo"/>
                <w:noProof/>
              </w:rPr>
              <w:t>Logros alcanzados por la Entidad</w:t>
            </w:r>
            <w:r>
              <w:rPr>
                <w:noProof/>
                <w:webHidden/>
              </w:rPr>
              <w:tab/>
            </w:r>
            <w:r>
              <w:rPr>
                <w:noProof/>
                <w:webHidden/>
              </w:rPr>
              <w:fldChar w:fldCharType="begin"/>
            </w:r>
            <w:r>
              <w:rPr>
                <w:noProof/>
                <w:webHidden/>
              </w:rPr>
              <w:instrText xml:space="preserve"> PAGEREF _Toc220402583 \h </w:instrText>
            </w:r>
            <w:r>
              <w:rPr>
                <w:noProof/>
                <w:webHidden/>
              </w:rPr>
            </w:r>
            <w:r>
              <w:rPr>
                <w:noProof/>
                <w:webHidden/>
              </w:rPr>
              <w:fldChar w:fldCharType="separate"/>
            </w:r>
            <w:r w:rsidR="001E23DA">
              <w:rPr>
                <w:noProof/>
                <w:webHidden/>
              </w:rPr>
              <w:t>7</w:t>
            </w:r>
            <w:r>
              <w:rPr>
                <w:noProof/>
                <w:webHidden/>
              </w:rPr>
              <w:fldChar w:fldCharType="end"/>
            </w:r>
          </w:hyperlink>
        </w:p>
        <w:p w14:paraId="4C98D956" w14:textId="455D97BD" w:rsidR="009B6507" w:rsidRDefault="009B6507">
          <w:pPr>
            <w:pStyle w:val="TDC2"/>
            <w:tabs>
              <w:tab w:val="left" w:pos="960"/>
              <w:tab w:val="right" w:leader="dot" w:pos="8830"/>
            </w:tabs>
            <w:rPr>
              <w:rFonts w:asciiTheme="minorHAnsi" w:eastAsiaTheme="minorEastAsia" w:hAnsiTheme="minorHAnsi" w:cstheme="minorBidi"/>
              <w:noProof/>
              <w:kern w:val="2"/>
              <w:sz w:val="24"/>
              <w:szCs w:val="24"/>
              <w:lang w:val="es-PY" w:eastAsia="es-PY"/>
              <w14:ligatures w14:val="standardContextual"/>
            </w:rPr>
          </w:pPr>
          <w:hyperlink w:anchor="_Toc220402584" w:history="1">
            <w:r w:rsidRPr="00A24475">
              <w:rPr>
                <w:rStyle w:val="Hipervnculo"/>
                <w:noProof/>
              </w:rPr>
              <w:t>II.2</w:t>
            </w:r>
            <w:r>
              <w:rPr>
                <w:rFonts w:asciiTheme="minorHAnsi" w:eastAsiaTheme="minorEastAsia" w:hAnsiTheme="minorHAnsi" w:cstheme="minorBidi"/>
                <w:noProof/>
                <w:kern w:val="2"/>
                <w:sz w:val="24"/>
                <w:szCs w:val="24"/>
                <w:lang w:val="es-PY" w:eastAsia="es-PY"/>
                <w14:ligatures w14:val="standardContextual"/>
              </w:rPr>
              <w:tab/>
            </w:r>
            <w:r w:rsidRPr="00A24475">
              <w:rPr>
                <w:rStyle w:val="Hipervnculo"/>
                <w:noProof/>
              </w:rPr>
              <w:t>Principales Informaciones Complementarias de la Entidad</w:t>
            </w:r>
            <w:r>
              <w:rPr>
                <w:noProof/>
                <w:webHidden/>
              </w:rPr>
              <w:tab/>
            </w:r>
            <w:r>
              <w:rPr>
                <w:noProof/>
                <w:webHidden/>
              </w:rPr>
              <w:fldChar w:fldCharType="begin"/>
            </w:r>
            <w:r>
              <w:rPr>
                <w:noProof/>
                <w:webHidden/>
              </w:rPr>
              <w:instrText xml:space="preserve"> PAGEREF _Toc220402584 \h </w:instrText>
            </w:r>
            <w:r>
              <w:rPr>
                <w:noProof/>
                <w:webHidden/>
              </w:rPr>
            </w:r>
            <w:r>
              <w:rPr>
                <w:noProof/>
                <w:webHidden/>
              </w:rPr>
              <w:fldChar w:fldCharType="separate"/>
            </w:r>
            <w:r w:rsidR="001E23DA">
              <w:rPr>
                <w:noProof/>
                <w:webHidden/>
              </w:rPr>
              <w:t>24</w:t>
            </w:r>
            <w:r>
              <w:rPr>
                <w:noProof/>
                <w:webHidden/>
              </w:rPr>
              <w:fldChar w:fldCharType="end"/>
            </w:r>
          </w:hyperlink>
        </w:p>
        <w:p w14:paraId="1ED68EB6" w14:textId="4F81F4ED" w:rsidR="009B6507" w:rsidRDefault="009B6507">
          <w:pPr>
            <w:pStyle w:val="TDC4"/>
            <w:tabs>
              <w:tab w:val="left" w:pos="1200"/>
              <w:tab w:val="right" w:leader="dot" w:pos="8830"/>
            </w:tabs>
            <w:rPr>
              <w:rFonts w:asciiTheme="minorHAnsi" w:eastAsiaTheme="minorEastAsia" w:hAnsiTheme="minorHAnsi" w:cstheme="minorBidi"/>
              <w:noProof/>
              <w:kern w:val="2"/>
              <w:sz w:val="24"/>
              <w:szCs w:val="24"/>
              <w:lang w:val="es-PY" w:eastAsia="es-PY"/>
              <w14:ligatures w14:val="standardContextual"/>
            </w:rPr>
          </w:pPr>
          <w:hyperlink w:anchor="_Toc220402585" w:history="1">
            <w:r w:rsidRPr="00A24475">
              <w:rPr>
                <w:rStyle w:val="Hipervnculo"/>
                <w:rFonts w:ascii="Wingdings" w:hAnsi="Wingdings"/>
                <w:noProof/>
              </w:rPr>
              <w:t></w:t>
            </w:r>
            <w:r>
              <w:rPr>
                <w:rFonts w:asciiTheme="minorHAnsi" w:eastAsiaTheme="minorEastAsia" w:hAnsiTheme="minorHAnsi" w:cstheme="minorBidi"/>
                <w:noProof/>
                <w:kern w:val="2"/>
                <w:sz w:val="24"/>
                <w:szCs w:val="24"/>
                <w:lang w:val="es-PY" w:eastAsia="es-PY"/>
                <w14:ligatures w14:val="standardContextual"/>
              </w:rPr>
              <w:tab/>
            </w:r>
            <w:r w:rsidRPr="00A24475">
              <w:rPr>
                <w:rStyle w:val="Hipervnculo"/>
                <w:noProof/>
              </w:rPr>
              <w:t>Atención a la Salud</w:t>
            </w:r>
            <w:r>
              <w:rPr>
                <w:noProof/>
                <w:webHidden/>
              </w:rPr>
              <w:tab/>
            </w:r>
            <w:r>
              <w:rPr>
                <w:noProof/>
                <w:webHidden/>
              </w:rPr>
              <w:fldChar w:fldCharType="begin"/>
            </w:r>
            <w:r>
              <w:rPr>
                <w:noProof/>
                <w:webHidden/>
              </w:rPr>
              <w:instrText xml:space="preserve"> PAGEREF _Toc220402585 \h </w:instrText>
            </w:r>
            <w:r>
              <w:rPr>
                <w:noProof/>
                <w:webHidden/>
              </w:rPr>
            </w:r>
            <w:r>
              <w:rPr>
                <w:noProof/>
                <w:webHidden/>
              </w:rPr>
              <w:fldChar w:fldCharType="separate"/>
            </w:r>
            <w:r w:rsidR="001E23DA">
              <w:rPr>
                <w:noProof/>
                <w:webHidden/>
              </w:rPr>
              <w:t>24</w:t>
            </w:r>
            <w:r>
              <w:rPr>
                <w:noProof/>
                <w:webHidden/>
              </w:rPr>
              <w:fldChar w:fldCharType="end"/>
            </w:r>
          </w:hyperlink>
        </w:p>
        <w:p w14:paraId="282DA71F" w14:textId="16AE43FB" w:rsidR="009B6507" w:rsidRDefault="009B6507">
          <w:pPr>
            <w:pStyle w:val="TDC4"/>
            <w:tabs>
              <w:tab w:val="left" w:pos="1200"/>
              <w:tab w:val="right" w:leader="dot" w:pos="8830"/>
            </w:tabs>
            <w:rPr>
              <w:rFonts w:asciiTheme="minorHAnsi" w:eastAsiaTheme="minorEastAsia" w:hAnsiTheme="minorHAnsi" w:cstheme="minorBidi"/>
              <w:noProof/>
              <w:kern w:val="2"/>
              <w:sz w:val="24"/>
              <w:szCs w:val="24"/>
              <w:lang w:val="es-PY" w:eastAsia="es-PY"/>
              <w14:ligatures w14:val="standardContextual"/>
            </w:rPr>
          </w:pPr>
          <w:hyperlink w:anchor="_Toc220402586" w:history="1">
            <w:r w:rsidRPr="00A24475">
              <w:rPr>
                <w:rStyle w:val="Hipervnculo"/>
                <w:rFonts w:ascii="Wingdings" w:hAnsi="Wingdings"/>
                <w:noProof/>
              </w:rPr>
              <w:t></w:t>
            </w:r>
            <w:r>
              <w:rPr>
                <w:rFonts w:asciiTheme="minorHAnsi" w:eastAsiaTheme="minorEastAsia" w:hAnsiTheme="minorHAnsi" w:cstheme="minorBidi"/>
                <w:noProof/>
                <w:kern w:val="2"/>
                <w:sz w:val="24"/>
                <w:szCs w:val="24"/>
                <w:lang w:val="es-PY" w:eastAsia="es-PY"/>
                <w14:ligatures w14:val="standardContextual"/>
              </w:rPr>
              <w:tab/>
            </w:r>
            <w:r w:rsidRPr="00A24475">
              <w:rPr>
                <w:rStyle w:val="Hipervnculo"/>
                <w:noProof/>
              </w:rPr>
              <w:t>Servicios Hospitalarios</w:t>
            </w:r>
            <w:r>
              <w:rPr>
                <w:noProof/>
                <w:webHidden/>
              </w:rPr>
              <w:tab/>
            </w:r>
            <w:r>
              <w:rPr>
                <w:noProof/>
                <w:webHidden/>
              </w:rPr>
              <w:fldChar w:fldCharType="begin"/>
            </w:r>
            <w:r>
              <w:rPr>
                <w:noProof/>
                <w:webHidden/>
              </w:rPr>
              <w:instrText xml:space="preserve"> PAGEREF _Toc220402586 \h </w:instrText>
            </w:r>
            <w:r>
              <w:rPr>
                <w:noProof/>
                <w:webHidden/>
              </w:rPr>
            </w:r>
            <w:r>
              <w:rPr>
                <w:noProof/>
                <w:webHidden/>
              </w:rPr>
              <w:fldChar w:fldCharType="separate"/>
            </w:r>
            <w:r w:rsidR="001E23DA">
              <w:rPr>
                <w:noProof/>
                <w:webHidden/>
              </w:rPr>
              <w:t>26</w:t>
            </w:r>
            <w:r>
              <w:rPr>
                <w:noProof/>
                <w:webHidden/>
              </w:rPr>
              <w:fldChar w:fldCharType="end"/>
            </w:r>
          </w:hyperlink>
        </w:p>
        <w:p w14:paraId="7A712347" w14:textId="66B0DA69" w:rsidR="009B6507" w:rsidRDefault="009B6507">
          <w:pPr>
            <w:pStyle w:val="TDC4"/>
            <w:tabs>
              <w:tab w:val="left" w:pos="1200"/>
              <w:tab w:val="right" w:leader="dot" w:pos="8830"/>
            </w:tabs>
            <w:rPr>
              <w:rFonts w:asciiTheme="minorHAnsi" w:eastAsiaTheme="minorEastAsia" w:hAnsiTheme="minorHAnsi" w:cstheme="minorBidi"/>
              <w:noProof/>
              <w:kern w:val="2"/>
              <w:sz w:val="24"/>
              <w:szCs w:val="24"/>
              <w:lang w:val="es-PY" w:eastAsia="es-PY"/>
              <w14:ligatures w14:val="standardContextual"/>
            </w:rPr>
          </w:pPr>
          <w:hyperlink w:anchor="_Toc220402587" w:history="1">
            <w:r w:rsidRPr="00A24475">
              <w:rPr>
                <w:rStyle w:val="Hipervnculo"/>
                <w:rFonts w:ascii="Wingdings" w:hAnsi="Wingdings"/>
                <w:noProof/>
              </w:rPr>
              <w:t></w:t>
            </w:r>
            <w:r>
              <w:rPr>
                <w:rFonts w:asciiTheme="minorHAnsi" w:eastAsiaTheme="minorEastAsia" w:hAnsiTheme="minorHAnsi" w:cstheme="minorBidi"/>
                <w:noProof/>
                <w:kern w:val="2"/>
                <w:sz w:val="24"/>
                <w:szCs w:val="24"/>
                <w:lang w:val="es-PY" w:eastAsia="es-PY"/>
                <w14:ligatures w14:val="standardContextual"/>
              </w:rPr>
              <w:tab/>
            </w:r>
            <w:r w:rsidRPr="00A24475">
              <w:rPr>
                <w:rStyle w:val="Hipervnculo"/>
                <w:noProof/>
              </w:rPr>
              <w:t>Mortalidad Infantil</w:t>
            </w:r>
            <w:r>
              <w:rPr>
                <w:noProof/>
                <w:webHidden/>
              </w:rPr>
              <w:tab/>
            </w:r>
            <w:r>
              <w:rPr>
                <w:noProof/>
                <w:webHidden/>
              </w:rPr>
              <w:fldChar w:fldCharType="begin"/>
            </w:r>
            <w:r>
              <w:rPr>
                <w:noProof/>
                <w:webHidden/>
              </w:rPr>
              <w:instrText xml:space="preserve"> PAGEREF _Toc220402587 \h </w:instrText>
            </w:r>
            <w:r>
              <w:rPr>
                <w:noProof/>
                <w:webHidden/>
              </w:rPr>
            </w:r>
            <w:r>
              <w:rPr>
                <w:noProof/>
                <w:webHidden/>
              </w:rPr>
              <w:fldChar w:fldCharType="separate"/>
            </w:r>
            <w:r w:rsidR="001E23DA">
              <w:rPr>
                <w:noProof/>
                <w:webHidden/>
              </w:rPr>
              <w:t>26</w:t>
            </w:r>
            <w:r>
              <w:rPr>
                <w:noProof/>
                <w:webHidden/>
              </w:rPr>
              <w:fldChar w:fldCharType="end"/>
            </w:r>
          </w:hyperlink>
        </w:p>
        <w:p w14:paraId="616364E2" w14:textId="0DD879AF" w:rsidR="009B6507" w:rsidRDefault="009B6507">
          <w:pPr>
            <w:pStyle w:val="TDC4"/>
            <w:tabs>
              <w:tab w:val="left" w:pos="1200"/>
              <w:tab w:val="right" w:leader="dot" w:pos="8830"/>
            </w:tabs>
            <w:rPr>
              <w:rFonts w:asciiTheme="minorHAnsi" w:eastAsiaTheme="minorEastAsia" w:hAnsiTheme="minorHAnsi" w:cstheme="minorBidi"/>
              <w:noProof/>
              <w:kern w:val="2"/>
              <w:sz w:val="24"/>
              <w:szCs w:val="24"/>
              <w:lang w:val="es-PY" w:eastAsia="es-PY"/>
              <w14:ligatures w14:val="standardContextual"/>
            </w:rPr>
          </w:pPr>
          <w:hyperlink w:anchor="_Toc220402588" w:history="1">
            <w:r w:rsidRPr="00A24475">
              <w:rPr>
                <w:rStyle w:val="Hipervnculo"/>
                <w:rFonts w:ascii="Wingdings" w:hAnsi="Wingdings"/>
                <w:noProof/>
              </w:rPr>
              <w:t></w:t>
            </w:r>
            <w:r>
              <w:rPr>
                <w:rFonts w:asciiTheme="minorHAnsi" w:eastAsiaTheme="minorEastAsia" w:hAnsiTheme="minorHAnsi" w:cstheme="minorBidi"/>
                <w:noProof/>
                <w:kern w:val="2"/>
                <w:sz w:val="24"/>
                <w:szCs w:val="24"/>
                <w:lang w:val="es-PY" w:eastAsia="es-PY"/>
                <w14:ligatures w14:val="standardContextual"/>
              </w:rPr>
              <w:tab/>
            </w:r>
            <w:r w:rsidRPr="00A24475">
              <w:rPr>
                <w:rStyle w:val="Hipervnculo"/>
                <w:noProof/>
              </w:rPr>
              <w:t>Mortalidad Materna</w:t>
            </w:r>
            <w:r>
              <w:rPr>
                <w:noProof/>
                <w:webHidden/>
              </w:rPr>
              <w:tab/>
            </w:r>
            <w:r>
              <w:rPr>
                <w:noProof/>
                <w:webHidden/>
              </w:rPr>
              <w:fldChar w:fldCharType="begin"/>
            </w:r>
            <w:r>
              <w:rPr>
                <w:noProof/>
                <w:webHidden/>
              </w:rPr>
              <w:instrText xml:space="preserve"> PAGEREF _Toc220402588 \h </w:instrText>
            </w:r>
            <w:r>
              <w:rPr>
                <w:noProof/>
                <w:webHidden/>
              </w:rPr>
            </w:r>
            <w:r>
              <w:rPr>
                <w:noProof/>
                <w:webHidden/>
              </w:rPr>
              <w:fldChar w:fldCharType="separate"/>
            </w:r>
            <w:r w:rsidR="001E23DA">
              <w:rPr>
                <w:noProof/>
                <w:webHidden/>
              </w:rPr>
              <w:t>27</w:t>
            </w:r>
            <w:r>
              <w:rPr>
                <w:noProof/>
                <w:webHidden/>
              </w:rPr>
              <w:fldChar w:fldCharType="end"/>
            </w:r>
          </w:hyperlink>
        </w:p>
        <w:p w14:paraId="3D222950" w14:textId="368A5FF3" w:rsidR="009B6507" w:rsidRDefault="009B6507">
          <w:pPr>
            <w:pStyle w:val="TDC4"/>
            <w:tabs>
              <w:tab w:val="left" w:pos="1200"/>
              <w:tab w:val="right" w:leader="dot" w:pos="8830"/>
            </w:tabs>
            <w:rPr>
              <w:rFonts w:asciiTheme="minorHAnsi" w:eastAsiaTheme="minorEastAsia" w:hAnsiTheme="minorHAnsi" w:cstheme="minorBidi"/>
              <w:noProof/>
              <w:kern w:val="2"/>
              <w:sz w:val="24"/>
              <w:szCs w:val="24"/>
              <w:lang w:val="es-PY" w:eastAsia="es-PY"/>
              <w14:ligatures w14:val="standardContextual"/>
            </w:rPr>
          </w:pPr>
          <w:hyperlink w:anchor="_Toc220402589" w:history="1">
            <w:r w:rsidRPr="00A24475">
              <w:rPr>
                <w:rStyle w:val="Hipervnculo"/>
                <w:rFonts w:ascii="Wingdings" w:hAnsi="Wingdings"/>
                <w:noProof/>
              </w:rPr>
              <w:t></w:t>
            </w:r>
            <w:r>
              <w:rPr>
                <w:rFonts w:asciiTheme="minorHAnsi" w:eastAsiaTheme="minorEastAsia" w:hAnsiTheme="minorHAnsi" w:cstheme="minorBidi"/>
                <w:noProof/>
                <w:kern w:val="2"/>
                <w:sz w:val="24"/>
                <w:szCs w:val="24"/>
                <w:lang w:val="es-PY" w:eastAsia="es-PY"/>
                <w14:ligatures w14:val="standardContextual"/>
              </w:rPr>
              <w:tab/>
            </w:r>
            <w:r w:rsidRPr="00A24475">
              <w:rPr>
                <w:rStyle w:val="Hipervnculo"/>
                <w:noProof/>
              </w:rPr>
              <w:t>Unidad de Salud de la Familia (USF)</w:t>
            </w:r>
            <w:r>
              <w:rPr>
                <w:noProof/>
                <w:webHidden/>
              </w:rPr>
              <w:tab/>
            </w:r>
            <w:r>
              <w:rPr>
                <w:noProof/>
                <w:webHidden/>
              </w:rPr>
              <w:fldChar w:fldCharType="begin"/>
            </w:r>
            <w:r>
              <w:rPr>
                <w:noProof/>
                <w:webHidden/>
              </w:rPr>
              <w:instrText xml:space="preserve"> PAGEREF _Toc220402589 \h </w:instrText>
            </w:r>
            <w:r>
              <w:rPr>
                <w:noProof/>
                <w:webHidden/>
              </w:rPr>
            </w:r>
            <w:r>
              <w:rPr>
                <w:noProof/>
                <w:webHidden/>
              </w:rPr>
              <w:fldChar w:fldCharType="separate"/>
            </w:r>
            <w:r w:rsidR="001E23DA">
              <w:rPr>
                <w:noProof/>
                <w:webHidden/>
              </w:rPr>
              <w:t>28</w:t>
            </w:r>
            <w:r>
              <w:rPr>
                <w:noProof/>
                <w:webHidden/>
              </w:rPr>
              <w:fldChar w:fldCharType="end"/>
            </w:r>
          </w:hyperlink>
        </w:p>
        <w:p w14:paraId="6297BB86" w14:textId="23AF0B6C" w:rsidR="009B6507" w:rsidRDefault="009B6507">
          <w:pPr>
            <w:pStyle w:val="TDC4"/>
            <w:tabs>
              <w:tab w:val="left" w:pos="1200"/>
              <w:tab w:val="right" w:leader="dot" w:pos="8830"/>
            </w:tabs>
            <w:rPr>
              <w:rFonts w:asciiTheme="minorHAnsi" w:eastAsiaTheme="minorEastAsia" w:hAnsiTheme="minorHAnsi" w:cstheme="minorBidi"/>
              <w:noProof/>
              <w:kern w:val="2"/>
              <w:sz w:val="24"/>
              <w:szCs w:val="24"/>
              <w:lang w:val="es-PY" w:eastAsia="es-PY"/>
              <w14:ligatures w14:val="standardContextual"/>
            </w:rPr>
          </w:pPr>
          <w:hyperlink w:anchor="_Toc220402590" w:history="1">
            <w:r w:rsidRPr="00A24475">
              <w:rPr>
                <w:rStyle w:val="Hipervnculo"/>
                <w:rFonts w:ascii="Wingdings" w:hAnsi="Wingdings"/>
                <w:noProof/>
              </w:rPr>
              <w:t></w:t>
            </w:r>
            <w:r>
              <w:rPr>
                <w:rFonts w:asciiTheme="minorHAnsi" w:eastAsiaTheme="minorEastAsia" w:hAnsiTheme="minorHAnsi" w:cstheme="minorBidi"/>
                <w:noProof/>
                <w:kern w:val="2"/>
                <w:sz w:val="24"/>
                <w:szCs w:val="24"/>
                <w:lang w:val="es-PY" w:eastAsia="es-PY"/>
                <w14:ligatures w14:val="standardContextual"/>
              </w:rPr>
              <w:tab/>
            </w:r>
            <w:r w:rsidRPr="00A24475">
              <w:rPr>
                <w:rStyle w:val="Hipervnculo"/>
                <w:noProof/>
              </w:rPr>
              <w:t>Instituciones del MSP y BS según Tipo</w:t>
            </w:r>
            <w:r>
              <w:rPr>
                <w:noProof/>
                <w:webHidden/>
              </w:rPr>
              <w:tab/>
            </w:r>
            <w:r>
              <w:rPr>
                <w:noProof/>
                <w:webHidden/>
              </w:rPr>
              <w:fldChar w:fldCharType="begin"/>
            </w:r>
            <w:r>
              <w:rPr>
                <w:noProof/>
                <w:webHidden/>
              </w:rPr>
              <w:instrText xml:space="preserve"> PAGEREF _Toc220402590 \h </w:instrText>
            </w:r>
            <w:r>
              <w:rPr>
                <w:noProof/>
                <w:webHidden/>
              </w:rPr>
            </w:r>
            <w:r>
              <w:rPr>
                <w:noProof/>
                <w:webHidden/>
              </w:rPr>
              <w:fldChar w:fldCharType="separate"/>
            </w:r>
            <w:r w:rsidR="001E23DA">
              <w:rPr>
                <w:noProof/>
                <w:webHidden/>
              </w:rPr>
              <w:t>29</w:t>
            </w:r>
            <w:r>
              <w:rPr>
                <w:noProof/>
                <w:webHidden/>
              </w:rPr>
              <w:fldChar w:fldCharType="end"/>
            </w:r>
          </w:hyperlink>
        </w:p>
        <w:p w14:paraId="7201FF3C" w14:textId="36F9A42A" w:rsidR="009B6507" w:rsidRDefault="009B6507">
          <w:pPr>
            <w:pStyle w:val="TDC4"/>
            <w:tabs>
              <w:tab w:val="left" w:pos="1200"/>
              <w:tab w:val="right" w:leader="dot" w:pos="8830"/>
            </w:tabs>
            <w:rPr>
              <w:rFonts w:asciiTheme="minorHAnsi" w:eastAsiaTheme="minorEastAsia" w:hAnsiTheme="minorHAnsi" w:cstheme="minorBidi"/>
              <w:noProof/>
              <w:kern w:val="2"/>
              <w:sz w:val="24"/>
              <w:szCs w:val="24"/>
              <w:lang w:val="es-PY" w:eastAsia="es-PY"/>
              <w14:ligatures w14:val="standardContextual"/>
            </w:rPr>
          </w:pPr>
          <w:hyperlink w:anchor="_Toc220402591" w:history="1">
            <w:r w:rsidRPr="00A24475">
              <w:rPr>
                <w:rStyle w:val="Hipervnculo"/>
                <w:rFonts w:ascii="Wingdings" w:hAnsi="Wingdings"/>
                <w:noProof/>
              </w:rPr>
              <w:t></w:t>
            </w:r>
            <w:r>
              <w:rPr>
                <w:rFonts w:asciiTheme="minorHAnsi" w:eastAsiaTheme="minorEastAsia" w:hAnsiTheme="minorHAnsi" w:cstheme="minorBidi"/>
                <w:noProof/>
                <w:kern w:val="2"/>
                <w:sz w:val="24"/>
                <w:szCs w:val="24"/>
                <w:lang w:val="es-PY" w:eastAsia="es-PY"/>
                <w14:ligatures w14:val="standardContextual"/>
              </w:rPr>
              <w:tab/>
            </w:r>
            <w:r w:rsidRPr="00A24475">
              <w:rPr>
                <w:rStyle w:val="Hipervnculo"/>
                <w:noProof/>
              </w:rPr>
              <w:t>Compras con el Fondo Nacional de Inversión Pública y Desarrollo – FONACIDE</w:t>
            </w:r>
            <w:r>
              <w:rPr>
                <w:noProof/>
                <w:webHidden/>
              </w:rPr>
              <w:tab/>
            </w:r>
            <w:r>
              <w:rPr>
                <w:noProof/>
                <w:webHidden/>
              </w:rPr>
              <w:fldChar w:fldCharType="begin"/>
            </w:r>
            <w:r>
              <w:rPr>
                <w:noProof/>
                <w:webHidden/>
              </w:rPr>
              <w:instrText xml:space="preserve"> PAGEREF _Toc220402591 \h </w:instrText>
            </w:r>
            <w:r>
              <w:rPr>
                <w:noProof/>
                <w:webHidden/>
              </w:rPr>
            </w:r>
            <w:r>
              <w:rPr>
                <w:noProof/>
                <w:webHidden/>
              </w:rPr>
              <w:fldChar w:fldCharType="separate"/>
            </w:r>
            <w:r w:rsidR="001E23DA">
              <w:rPr>
                <w:noProof/>
                <w:webHidden/>
              </w:rPr>
              <w:t>30</w:t>
            </w:r>
            <w:r>
              <w:rPr>
                <w:noProof/>
                <w:webHidden/>
              </w:rPr>
              <w:fldChar w:fldCharType="end"/>
            </w:r>
          </w:hyperlink>
        </w:p>
        <w:p w14:paraId="51A98ECA" w14:textId="1A48A066" w:rsidR="009B6507" w:rsidRDefault="009B6507">
          <w:pPr>
            <w:pStyle w:val="TDC1"/>
            <w:tabs>
              <w:tab w:val="right" w:leader="dot" w:pos="8830"/>
            </w:tabs>
            <w:rPr>
              <w:rFonts w:asciiTheme="minorHAnsi" w:eastAsiaTheme="minorEastAsia" w:hAnsiTheme="minorHAnsi" w:cstheme="minorBidi"/>
              <w:noProof/>
              <w:kern w:val="2"/>
              <w:sz w:val="24"/>
              <w:szCs w:val="24"/>
              <w:lang w:val="es-PY" w:eastAsia="es-PY"/>
              <w14:ligatures w14:val="standardContextual"/>
            </w:rPr>
          </w:pPr>
          <w:hyperlink w:anchor="_Toc220402592" w:history="1">
            <w:r w:rsidRPr="00A24475">
              <w:rPr>
                <w:rStyle w:val="Hipervnculo"/>
                <w:noProof/>
                <w:lang w:val="es-PY"/>
              </w:rPr>
              <w:t>III DESAFIO FUTURO Y SEGUIMIENTO</w:t>
            </w:r>
            <w:r>
              <w:rPr>
                <w:noProof/>
                <w:webHidden/>
              </w:rPr>
              <w:tab/>
            </w:r>
            <w:r>
              <w:rPr>
                <w:noProof/>
                <w:webHidden/>
              </w:rPr>
              <w:fldChar w:fldCharType="begin"/>
            </w:r>
            <w:r>
              <w:rPr>
                <w:noProof/>
                <w:webHidden/>
              </w:rPr>
              <w:instrText xml:space="preserve"> PAGEREF _Toc220402592 \h </w:instrText>
            </w:r>
            <w:r>
              <w:rPr>
                <w:noProof/>
                <w:webHidden/>
              </w:rPr>
            </w:r>
            <w:r>
              <w:rPr>
                <w:noProof/>
                <w:webHidden/>
              </w:rPr>
              <w:fldChar w:fldCharType="separate"/>
            </w:r>
            <w:r w:rsidR="001E23DA">
              <w:rPr>
                <w:noProof/>
                <w:webHidden/>
              </w:rPr>
              <w:t>31</w:t>
            </w:r>
            <w:r>
              <w:rPr>
                <w:noProof/>
                <w:webHidden/>
              </w:rPr>
              <w:fldChar w:fldCharType="end"/>
            </w:r>
          </w:hyperlink>
        </w:p>
        <w:p w14:paraId="70D7CE18" w14:textId="3D85D752" w:rsidR="009B6507" w:rsidRDefault="009B6507">
          <w:pPr>
            <w:pStyle w:val="TDC4"/>
            <w:tabs>
              <w:tab w:val="right" w:leader="dot" w:pos="8830"/>
            </w:tabs>
            <w:rPr>
              <w:rFonts w:asciiTheme="minorHAnsi" w:eastAsiaTheme="minorEastAsia" w:hAnsiTheme="minorHAnsi" w:cstheme="minorBidi"/>
              <w:noProof/>
              <w:kern w:val="2"/>
              <w:sz w:val="24"/>
              <w:szCs w:val="24"/>
              <w:lang w:val="es-PY" w:eastAsia="es-PY"/>
              <w14:ligatures w14:val="standardContextual"/>
            </w:rPr>
          </w:pPr>
          <w:hyperlink w:anchor="_Toc220402593" w:history="1">
            <w:r w:rsidRPr="00A24475">
              <w:rPr>
                <w:rStyle w:val="Hipervnculo"/>
                <w:noProof/>
              </w:rPr>
              <w:t>III.1 DESAFIO FUTURO</w:t>
            </w:r>
            <w:r>
              <w:rPr>
                <w:noProof/>
                <w:webHidden/>
              </w:rPr>
              <w:tab/>
            </w:r>
            <w:r>
              <w:rPr>
                <w:noProof/>
                <w:webHidden/>
              </w:rPr>
              <w:fldChar w:fldCharType="begin"/>
            </w:r>
            <w:r>
              <w:rPr>
                <w:noProof/>
                <w:webHidden/>
              </w:rPr>
              <w:instrText xml:space="preserve"> PAGEREF _Toc220402593 \h </w:instrText>
            </w:r>
            <w:r>
              <w:rPr>
                <w:noProof/>
                <w:webHidden/>
              </w:rPr>
            </w:r>
            <w:r>
              <w:rPr>
                <w:noProof/>
                <w:webHidden/>
              </w:rPr>
              <w:fldChar w:fldCharType="separate"/>
            </w:r>
            <w:r w:rsidR="001E23DA">
              <w:rPr>
                <w:noProof/>
                <w:webHidden/>
              </w:rPr>
              <w:t>31</w:t>
            </w:r>
            <w:r>
              <w:rPr>
                <w:noProof/>
                <w:webHidden/>
              </w:rPr>
              <w:fldChar w:fldCharType="end"/>
            </w:r>
          </w:hyperlink>
        </w:p>
        <w:p w14:paraId="220A7272" w14:textId="32AE962A" w:rsidR="009B6507" w:rsidRDefault="009B6507">
          <w:pPr>
            <w:pStyle w:val="TDC4"/>
            <w:tabs>
              <w:tab w:val="right" w:leader="dot" w:pos="8830"/>
            </w:tabs>
            <w:rPr>
              <w:rFonts w:asciiTheme="minorHAnsi" w:eastAsiaTheme="minorEastAsia" w:hAnsiTheme="minorHAnsi" w:cstheme="minorBidi"/>
              <w:noProof/>
              <w:kern w:val="2"/>
              <w:sz w:val="24"/>
              <w:szCs w:val="24"/>
              <w:lang w:val="es-PY" w:eastAsia="es-PY"/>
              <w14:ligatures w14:val="standardContextual"/>
            </w:rPr>
          </w:pPr>
          <w:hyperlink w:anchor="_Toc220402594" w:history="1">
            <w:r w:rsidRPr="00A24475">
              <w:rPr>
                <w:rStyle w:val="Hipervnculo"/>
                <w:noProof/>
              </w:rPr>
              <w:t>III.2 SEGUIMIENTO AL DESAFÍO DECLARADO EN EL BAGP 2024</w:t>
            </w:r>
            <w:r>
              <w:rPr>
                <w:noProof/>
                <w:webHidden/>
              </w:rPr>
              <w:tab/>
            </w:r>
            <w:r>
              <w:rPr>
                <w:noProof/>
                <w:webHidden/>
              </w:rPr>
              <w:fldChar w:fldCharType="begin"/>
            </w:r>
            <w:r>
              <w:rPr>
                <w:noProof/>
                <w:webHidden/>
              </w:rPr>
              <w:instrText xml:space="preserve"> PAGEREF _Toc220402594 \h </w:instrText>
            </w:r>
            <w:r>
              <w:rPr>
                <w:noProof/>
                <w:webHidden/>
              </w:rPr>
            </w:r>
            <w:r>
              <w:rPr>
                <w:noProof/>
                <w:webHidden/>
              </w:rPr>
              <w:fldChar w:fldCharType="separate"/>
            </w:r>
            <w:r w:rsidR="001E23DA">
              <w:rPr>
                <w:noProof/>
                <w:webHidden/>
              </w:rPr>
              <w:t>32</w:t>
            </w:r>
            <w:r>
              <w:rPr>
                <w:noProof/>
                <w:webHidden/>
              </w:rPr>
              <w:fldChar w:fldCharType="end"/>
            </w:r>
          </w:hyperlink>
        </w:p>
        <w:p w14:paraId="05D53F7B" w14:textId="61D08DB3" w:rsidR="009B6507" w:rsidRDefault="009B6507">
          <w:pPr>
            <w:pStyle w:val="TDC2"/>
            <w:tabs>
              <w:tab w:val="right" w:leader="dot" w:pos="8830"/>
            </w:tabs>
            <w:rPr>
              <w:rFonts w:asciiTheme="minorHAnsi" w:eastAsiaTheme="minorEastAsia" w:hAnsiTheme="minorHAnsi" w:cstheme="minorBidi"/>
              <w:noProof/>
              <w:kern w:val="2"/>
              <w:sz w:val="24"/>
              <w:szCs w:val="24"/>
              <w:lang w:val="es-PY" w:eastAsia="es-PY"/>
              <w14:ligatures w14:val="standardContextual"/>
            </w:rPr>
          </w:pPr>
          <w:hyperlink w:anchor="_Toc220402595" w:history="1">
            <w:r w:rsidRPr="00A24475">
              <w:rPr>
                <w:rStyle w:val="Hipervnculo"/>
                <w:rFonts w:eastAsiaTheme="majorEastAsia"/>
                <w:bCs/>
                <w:noProof/>
                <w:lang w:val="es-PY"/>
              </w:rPr>
              <w:t>ANEXO I</w:t>
            </w:r>
            <w:r>
              <w:rPr>
                <w:noProof/>
                <w:webHidden/>
              </w:rPr>
              <w:tab/>
            </w:r>
            <w:r>
              <w:rPr>
                <w:noProof/>
                <w:webHidden/>
              </w:rPr>
              <w:fldChar w:fldCharType="begin"/>
            </w:r>
            <w:r>
              <w:rPr>
                <w:noProof/>
                <w:webHidden/>
              </w:rPr>
              <w:instrText xml:space="preserve"> PAGEREF _Toc220402595 \h </w:instrText>
            </w:r>
            <w:r>
              <w:rPr>
                <w:noProof/>
                <w:webHidden/>
              </w:rPr>
            </w:r>
            <w:r>
              <w:rPr>
                <w:noProof/>
                <w:webHidden/>
              </w:rPr>
              <w:fldChar w:fldCharType="separate"/>
            </w:r>
            <w:r w:rsidR="001E23DA">
              <w:rPr>
                <w:noProof/>
                <w:webHidden/>
              </w:rPr>
              <w:t>34</w:t>
            </w:r>
            <w:r>
              <w:rPr>
                <w:noProof/>
                <w:webHidden/>
              </w:rPr>
              <w:fldChar w:fldCharType="end"/>
            </w:r>
          </w:hyperlink>
        </w:p>
        <w:p w14:paraId="60F110C6" w14:textId="594F89C3" w:rsidR="009B6507" w:rsidRDefault="009B6507">
          <w:pPr>
            <w:pStyle w:val="TDC4"/>
            <w:tabs>
              <w:tab w:val="left" w:pos="1200"/>
              <w:tab w:val="right" w:leader="dot" w:pos="8830"/>
            </w:tabs>
            <w:rPr>
              <w:rFonts w:asciiTheme="minorHAnsi" w:eastAsiaTheme="minorEastAsia" w:hAnsiTheme="minorHAnsi" w:cstheme="minorBidi"/>
              <w:noProof/>
              <w:kern w:val="2"/>
              <w:sz w:val="24"/>
              <w:szCs w:val="24"/>
              <w:lang w:val="es-PY" w:eastAsia="es-PY"/>
              <w14:ligatures w14:val="standardContextual"/>
            </w:rPr>
          </w:pPr>
          <w:hyperlink w:anchor="_Toc220402596" w:history="1">
            <w:r w:rsidRPr="00A24475">
              <w:rPr>
                <w:rStyle w:val="Hipervnculo"/>
                <w:rFonts w:ascii="Wingdings" w:hAnsi="Wingdings"/>
                <w:noProof/>
              </w:rPr>
              <w:t></w:t>
            </w:r>
            <w:r>
              <w:rPr>
                <w:rFonts w:asciiTheme="minorHAnsi" w:eastAsiaTheme="minorEastAsia" w:hAnsiTheme="minorHAnsi" w:cstheme="minorBidi"/>
                <w:noProof/>
                <w:kern w:val="2"/>
                <w:sz w:val="24"/>
                <w:szCs w:val="24"/>
                <w:lang w:val="es-PY" w:eastAsia="es-PY"/>
                <w14:ligatures w14:val="standardContextual"/>
              </w:rPr>
              <w:tab/>
            </w:r>
            <w:r w:rsidRPr="00A24475">
              <w:rPr>
                <w:rStyle w:val="Hipervnculo"/>
                <w:noProof/>
              </w:rPr>
              <w:t>Logros Obtenidos por Estructura Programática Presupuestaria</w:t>
            </w:r>
            <w:r>
              <w:rPr>
                <w:noProof/>
                <w:webHidden/>
              </w:rPr>
              <w:tab/>
            </w:r>
            <w:r>
              <w:rPr>
                <w:noProof/>
                <w:webHidden/>
              </w:rPr>
              <w:fldChar w:fldCharType="begin"/>
            </w:r>
            <w:r>
              <w:rPr>
                <w:noProof/>
                <w:webHidden/>
              </w:rPr>
              <w:instrText xml:space="preserve"> PAGEREF _Toc220402596 \h </w:instrText>
            </w:r>
            <w:r>
              <w:rPr>
                <w:noProof/>
                <w:webHidden/>
              </w:rPr>
            </w:r>
            <w:r>
              <w:rPr>
                <w:noProof/>
                <w:webHidden/>
              </w:rPr>
              <w:fldChar w:fldCharType="separate"/>
            </w:r>
            <w:r w:rsidR="001E23DA">
              <w:rPr>
                <w:noProof/>
                <w:webHidden/>
              </w:rPr>
              <w:t>34</w:t>
            </w:r>
            <w:r>
              <w:rPr>
                <w:noProof/>
                <w:webHidden/>
              </w:rPr>
              <w:fldChar w:fldCharType="end"/>
            </w:r>
          </w:hyperlink>
        </w:p>
        <w:p w14:paraId="1B1D5386" w14:textId="45DE4974" w:rsidR="009B6507" w:rsidRDefault="009B6507">
          <w:pPr>
            <w:pStyle w:val="TDC2"/>
            <w:tabs>
              <w:tab w:val="right" w:leader="dot" w:pos="8830"/>
            </w:tabs>
            <w:rPr>
              <w:rFonts w:asciiTheme="minorHAnsi" w:eastAsiaTheme="minorEastAsia" w:hAnsiTheme="minorHAnsi" w:cstheme="minorBidi"/>
              <w:noProof/>
              <w:kern w:val="2"/>
              <w:sz w:val="24"/>
              <w:szCs w:val="24"/>
              <w:lang w:val="es-PY" w:eastAsia="es-PY"/>
              <w14:ligatures w14:val="standardContextual"/>
            </w:rPr>
          </w:pPr>
          <w:hyperlink w:anchor="_Toc220402597" w:history="1">
            <w:r w:rsidRPr="00A24475">
              <w:rPr>
                <w:rStyle w:val="Hipervnculo"/>
                <w:rFonts w:eastAsiaTheme="majorEastAsia"/>
                <w:bCs/>
                <w:noProof/>
                <w:lang w:val="es-PY"/>
              </w:rPr>
              <w:t>ANEXO II</w:t>
            </w:r>
            <w:r>
              <w:rPr>
                <w:noProof/>
                <w:webHidden/>
              </w:rPr>
              <w:tab/>
            </w:r>
            <w:r>
              <w:rPr>
                <w:noProof/>
                <w:webHidden/>
              </w:rPr>
              <w:fldChar w:fldCharType="begin"/>
            </w:r>
            <w:r>
              <w:rPr>
                <w:noProof/>
                <w:webHidden/>
              </w:rPr>
              <w:instrText xml:space="preserve"> PAGEREF _Toc220402597 \h </w:instrText>
            </w:r>
            <w:r>
              <w:rPr>
                <w:noProof/>
                <w:webHidden/>
              </w:rPr>
            </w:r>
            <w:r>
              <w:rPr>
                <w:noProof/>
                <w:webHidden/>
              </w:rPr>
              <w:fldChar w:fldCharType="separate"/>
            </w:r>
            <w:r w:rsidR="001E23DA">
              <w:rPr>
                <w:noProof/>
                <w:webHidden/>
              </w:rPr>
              <w:t>35</w:t>
            </w:r>
            <w:r>
              <w:rPr>
                <w:noProof/>
                <w:webHidden/>
              </w:rPr>
              <w:fldChar w:fldCharType="end"/>
            </w:r>
          </w:hyperlink>
        </w:p>
        <w:p w14:paraId="4F19FC1E" w14:textId="600032FE" w:rsidR="009B6507" w:rsidRDefault="009B6507">
          <w:pPr>
            <w:pStyle w:val="TDC4"/>
            <w:tabs>
              <w:tab w:val="left" w:pos="1200"/>
              <w:tab w:val="right" w:leader="dot" w:pos="8830"/>
            </w:tabs>
            <w:rPr>
              <w:rFonts w:asciiTheme="minorHAnsi" w:eastAsiaTheme="minorEastAsia" w:hAnsiTheme="minorHAnsi" w:cstheme="minorBidi"/>
              <w:noProof/>
              <w:kern w:val="2"/>
              <w:sz w:val="24"/>
              <w:szCs w:val="24"/>
              <w:lang w:val="es-PY" w:eastAsia="es-PY"/>
              <w14:ligatures w14:val="standardContextual"/>
            </w:rPr>
          </w:pPr>
          <w:hyperlink w:anchor="_Toc220402598" w:history="1">
            <w:r w:rsidRPr="00A24475">
              <w:rPr>
                <w:rStyle w:val="Hipervnculo"/>
                <w:rFonts w:ascii="Wingdings" w:hAnsi="Wingdings"/>
                <w:noProof/>
              </w:rPr>
              <w:t></w:t>
            </w:r>
            <w:r>
              <w:rPr>
                <w:rFonts w:asciiTheme="minorHAnsi" w:eastAsiaTheme="minorEastAsia" w:hAnsiTheme="minorHAnsi" w:cstheme="minorBidi"/>
                <w:noProof/>
                <w:kern w:val="2"/>
                <w:sz w:val="24"/>
                <w:szCs w:val="24"/>
                <w:lang w:val="es-PY" w:eastAsia="es-PY"/>
                <w14:ligatures w14:val="standardContextual"/>
              </w:rPr>
              <w:tab/>
            </w:r>
            <w:r w:rsidRPr="00A24475">
              <w:rPr>
                <w:rStyle w:val="Hipervnculo"/>
                <w:noProof/>
              </w:rPr>
              <w:t>Recursos Humanos</w:t>
            </w:r>
            <w:r>
              <w:rPr>
                <w:noProof/>
                <w:webHidden/>
              </w:rPr>
              <w:tab/>
            </w:r>
            <w:r>
              <w:rPr>
                <w:noProof/>
                <w:webHidden/>
              </w:rPr>
              <w:fldChar w:fldCharType="begin"/>
            </w:r>
            <w:r>
              <w:rPr>
                <w:noProof/>
                <w:webHidden/>
              </w:rPr>
              <w:instrText xml:space="preserve"> PAGEREF _Toc220402598 \h </w:instrText>
            </w:r>
            <w:r>
              <w:rPr>
                <w:noProof/>
                <w:webHidden/>
              </w:rPr>
            </w:r>
            <w:r>
              <w:rPr>
                <w:noProof/>
                <w:webHidden/>
              </w:rPr>
              <w:fldChar w:fldCharType="separate"/>
            </w:r>
            <w:r w:rsidR="001E23DA">
              <w:rPr>
                <w:noProof/>
                <w:webHidden/>
              </w:rPr>
              <w:t>35</w:t>
            </w:r>
            <w:r>
              <w:rPr>
                <w:noProof/>
                <w:webHidden/>
              </w:rPr>
              <w:fldChar w:fldCharType="end"/>
            </w:r>
          </w:hyperlink>
        </w:p>
        <w:p w14:paraId="32E9ECD5" w14:textId="60D5D1C1" w:rsidR="009B6507" w:rsidRDefault="009B6507">
          <w:pPr>
            <w:pStyle w:val="TDC4"/>
            <w:tabs>
              <w:tab w:val="left" w:pos="1200"/>
              <w:tab w:val="right" w:leader="dot" w:pos="8830"/>
            </w:tabs>
            <w:rPr>
              <w:rFonts w:asciiTheme="minorHAnsi" w:eastAsiaTheme="minorEastAsia" w:hAnsiTheme="minorHAnsi" w:cstheme="minorBidi"/>
              <w:noProof/>
              <w:kern w:val="2"/>
              <w:sz w:val="24"/>
              <w:szCs w:val="24"/>
              <w:lang w:val="es-PY" w:eastAsia="es-PY"/>
              <w14:ligatures w14:val="standardContextual"/>
            </w:rPr>
          </w:pPr>
          <w:hyperlink w:anchor="_Toc220402599" w:history="1">
            <w:r w:rsidRPr="00A24475">
              <w:rPr>
                <w:rStyle w:val="Hipervnculo"/>
                <w:rFonts w:ascii="Wingdings" w:hAnsi="Wingdings"/>
                <w:noProof/>
              </w:rPr>
              <w:t></w:t>
            </w:r>
            <w:r>
              <w:rPr>
                <w:rFonts w:asciiTheme="minorHAnsi" w:eastAsiaTheme="minorEastAsia" w:hAnsiTheme="minorHAnsi" w:cstheme="minorBidi"/>
                <w:noProof/>
                <w:kern w:val="2"/>
                <w:sz w:val="24"/>
                <w:szCs w:val="24"/>
                <w:lang w:val="es-PY" w:eastAsia="es-PY"/>
                <w14:ligatures w14:val="standardContextual"/>
              </w:rPr>
              <w:tab/>
            </w:r>
            <w:r w:rsidRPr="00A24475">
              <w:rPr>
                <w:rStyle w:val="Hipervnculo"/>
                <w:noProof/>
              </w:rPr>
              <w:t>Cantidad de Personal de Blanco</w:t>
            </w:r>
            <w:r>
              <w:rPr>
                <w:noProof/>
                <w:webHidden/>
              </w:rPr>
              <w:tab/>
            </w:r>
            <w:r>
              <w:rPr>
                <w:noProof/>
                <w:webHidden/>
              </w:rPr>
              <w:fldChar w:fldCharType="begin"/>
            </w:r>
            <w:r>
              <w:rPr>
                <w:noProof/>
                <w:webHidden/>
              </w:rPr>
              <w:instrText xml:space="preserve"> PAGEREF _Toc220402599 \h </w:instrText>
            </w:r>
            <w:r>
              <w:rPr>
                <w:noProof/>
                <w:webHidden/>
              </w:rPr>
            </w:r>
            <w:r>
              <w:rPr>
                <w:noProof/>
                <w:webHidden/>
              </w:rPr>
              <w:fldChar w:fldCharType="separate"/>
            </w:r>
            <w:r w:rsidR="001E23DA">
              <w:rPr>
                <w:noProof/>
                <w:webHidden/>
              </w:rPr>
              <w:t>35</w:t>
            </w:r>
            <w:r>
              <w:rPr>
                <w:noProof/>
                <w:webHidden/>
              </w:rPr>
              <w:fldChar w:fldCharType="end"/>
            </w:r>
          </w:hyperlink>
        </w:p>
        <w:p w14:paraId="532F6A5D" w14:textId="00D54BC8" w:rsidR="009B6507" w:rsidRDefault="009B6507">
          <w:pPr>
            <w:pStyle w:val="TDC4"/>
            <w:tabs>
              <w:tab w:val="left" w:pos="1200"/>
              <w:tab w:val="right" w:leader="dot" w:pos="8830"/>
            </w:tabs>
            <w:rPr>
              <w:rFonts w:asciiTheme="minorHAnsi" w:eastAsiaTheme="minorEastAsia" w:hAnsiTheme="minorHAnsi" w:cstheme="minorBidi"/>
              <w:noProof/>
              <w:kern w:val="2"/>
              <w:sz w:val="24"/>
              <w:szCs w:val="24"/>
              <w:lang w:val="es-PY" w:eastAsia="es-PY"/>
              <w14:ligatures w14:val="standardContextual"/>
            </w:rPr>
          </w:pPr>
          <w:hyperlink w:anchor="_Toc220402600" w:history="1">
            <w:r w:rsidRPr="00A24475">
              <w:rPr>
                <w:rStyle w:val="Hipervnculo"/>
                <w:rFonts w:ascii="Wingdings" w:hAnsi="Wingdings"/>
                <w:noProof/>
              </w:rPr>
              <w:t></w:t>
            </w:r>
            <w:r>
              <w:rPr>
                <w:rFonts w:asciiTheme="minorHAnsi" w:eastAsiaTheme="minorEastAsia" w:hAnsiTheme="minorHAnsi" w:cstheme="minorBidi"/>
                <w:noProof/>
                <w:kern w:val="2"/>
                <w:sz w:val="24"/>
                <w:szCs w:val="24"/>
                <w:lang w:val="es-PY" w:eastAsia="es-PY"/>
                <w14:ligatures w14:val="standardContextual"/>
              </w:rPr>
              <w:tab/>
            </w:r>
            <w:r w:rsidRPr="00A24475">
              <w:rPr>
                <w:rStyle w:val="Hipervnculo"/>
                <w:noProof/>
              </w:rPr>
              <w:t>ID 504 “Tasa de Recursos Humanos en Salud por Vínculos del MSPYBS por cada 1.000 Habitantes”</w:t>
            </w:r>
            <w:r>
              <w:rPr>
                <w:noProof/>
                <w:webHidden/>
              </w:rPr>
              <w:tab/>
            </w:r>
            <w:r>
              <w:rPr>
                <w:noProof/>
                <w:webHidden/>
              </w:rPr>
              <w:fldChar w:fldCharType="begin"/>
            </w:r>
            <w:r>
              <w:rPr>
                <w:noProof/>
                <w:webHidden/>
              </w:rPr>
              <w:instrText xml:space="preserve"> PAGEREF _Toc220402600 \h </w:instrText>
            </w:r>
            <w:r>
              <w:rPr>
                <w:noProof/>
                <w:webHidden/>
              </w:rPr>
            </w:r>
            <w:r>
              <w:rPr>
                <w:noProof/>
                <w:webHidden/>
              </w:rPr>
              <w:fldChar w:fldCharType="separate"/>
            </w:r>
            <w:r w:rsidR="001E23DA">
              <w:rPr>
                <w:noProof/>
                <w:webHidden/>
              </w:rPr>
              <w:t>36</w:t>
            </w:r>
            <w:r>
              <w:rPr>
                <w:noProof/>
                <w:webHidden/>
              </w:rPr>
              <w:fldChar w:fldCharType="end"/>
            </w:r>
          </w:hyperlink>
        </w:p>
        <w:p w14:paraId="5D105A75" w14:textId="65195BB4" w:rsidR="009B6507" w:rsidRDefault="009B6507">
          <w:pPr>
            <w:pStyle w:val="TDC2"/>
            <w:tabs>
              <w:tab w:val="right" w:leader="dot" w:pos="8830"/>
            </w:tabs>
            <w:rPr>
              <w:rFonts w:asciiTheme="minorHAnsi" w:eastAsiaTheme="minorEastAsia" w:hAnsiTheme="minorHAnsi" w:cstheme="minorBidi"/>
              <w:noProof/>
              <w:kern w:val="2"/>
              <w:sz w:val="24"/>
              <w:szCs w:val="24"/>
              <w:lang w:val="es-PY" w:eastAsia="es-PY"/>
              <w14:ligatures w14:val="standardContextual"/>
            </w:rPr>
          </w:pPr>
          <w:hyperlink w:anchor="_Toc220402601" w:history="1">
            <w:r w:rsidRPr="00A24475">
              <w:rPr>
                <w:rStyle w:val="Hipervnculo"/>
                <w:rFonts w:eastAsiaTheme="majorEastAsia"/>
                <w:bCs/>
                <w:noProof/>
                <w:lang w:val="es-PY"/>
              </w:rPr>
              <w:t>ANEXO III</w:t>
            </w:r>
            <w:r>
              <w:rPr>
                <w:noProof/>
                <w:webHidden/>
              </w:rPr>
              <w:tab/>
            </w:r>
            <w:r>
              <w:rPr>
                <w:noProof/>
                <w:webHidden/>
              </w:rPr>
              <w:fldChar w:fldCharType="begin"/>
            </w:r>
            <w:r>
              <w:rPr>
                <w:noProof/>
                <w:webHidden/>
              </w:rPr>
              <w:instrText xml:space="preserve"> PAGEREF _Toc220402601 \h </w:instrText>
            </w:r>
            <w:r>
              <w:rPr>
                <w:noProof/>
                <w:webHidden/>
              </w:rPr>
            </w:r>
            <w:r>
              <w:rPr>
                <w:noProof/>
                <w:webHidden/>
              </w:rPr>
              <w:fldChar w:fldCharType="separate"/>
            </w:r>
            <w:r w:rsidR="001E23DA">
              <w:rPr>
                <w:noProof/>
                <w:webHidden/>
              </w:rPr>
              <w:t>37</w:t>
            </w:r>
            <w:r>
              <w:rPr>
                <w:noProof/>
                <w:webHidden/>
              </w:rPr>
              <w:fldChar w:fldCharType="end"/>
            </w:r>
          </w:hyperlink>
        </w:p>
        <w:p w14:paraId="576B3130" w14:textId="613FE442" w:rsidR="009B6507" w:rsidRDefault="009B6507">
          <w:pPr>
            <w:pStyle w:val="TDC4"/>
            <w:tabs>
              <w:tab w:val="left" w:pos="1200"/>
              <w:tab w:val="right" w:leader="dot" w:pos="8830"/>
            </w:tabs>
            <w:rPr>
              <w:rFonts w:asciiTheme="minorHAnsi" w:eastAsiaTheme="minorEastAsia" w:hAnsiTheme="minorHAnsi" w:cstheme="minorBidi"/>
              <w:noProof/>
              <w:kern w:val="2"/>
              <w:sz w:val="24"/>
              <w:szCs w:val="24"/>
              <w:lang w:val="es-PY" w:eastAsia="es-PY"/>
              <w14:ligatures w14:val="standardContextual"/>
            </w:rPr>
          </w:pPr>
          <w:hyperlink w:anchor="_Toc220402602" w:history="1">
            <w:r w:rsidRPr="00A24475">
              <w:rPr>
                <w:rStyle w:val="Hipervnculo"/>
                <w:rFonts w:ascii="Wingdings" w:hAnsi="Wingdings"/>
                <w:noProof/>
                <w:lang w:val="es-PY"/>
              </w:rPr>
              <w:t></w:t>
            </w:r>
            <w:r>
              <w:rPr>
                <w:rFonts w:asciiTheme="minorHAnsi" w:eastAsiaTheme="minorEastAsia" w:hAnsiTheme="minorHAnsi" w:cstheme="minorBidi"/>
                <w:noProof/>
                <w:kern w:val="2"/>
                <w:sz w:val="24"/>
                <w:szCs w:val="24"/>
                <w:lang w:val="es-PY" w:eastAsia="es-PY"/>
                <w14:ligatures w14:val="standardContextual"/>
              </w:rPr>
              <w:tab/>
            </w:r>
            <w:r w:rsidRPr="00A24475">
              <w:rPr>
                <w:rStyle w:val="Hipervnculo"/>
                <w:noProof/>
                <w:lang w:val="es-PY"/>
              </w:rPr>
              <w:t>Avance de la Población Efectiva</w:t>
            </w:r>
            <w:r>
              <w:rPr>
                <w:noProof/>
                <w:webHidden/>
              </w:rPr>
              <w:tab/>
            </w:r>
            <w:r>
              <w:rPr>
                <w:noProof/>
                <w:webHidden/>
              </w:rPr>
              <w:fldChar w:fldCharType="begin"/>
            </w:r>
            <w:r>
              <w:rPr>
                <w:noProof/>
                <w:webHidden/>
              </w:rPr>
              <w:instrText xml:space="preserve"> PAGEREF _Toc220402602 \h </w:instrText>
            </w:r>
            <w:r>
              <w:rPr>
                <w:noProof/>
                <w:webHidden/>
              </w:rPr>
            </w:r>
            <w:r>
              <w:rPr>
                <w:noProof/>
                <w:webHidden/>
              </w:rPr>
              <w:fldChar w:fldCharType="separate"/>
            </w:r>
            <w:r w:rsidR="001E23DA">
              <w:rPr>
                <w:noProof/>
                <w:webHidden/>
              </w:rPr>
              <w:t>37</w:t>
            </w:r>
            <w:r>
              <w:rPr>
                <w:noProof/>
                <w:webHidden/>
              </w:rPr>
              <w:fldChar w:fldCharType="end"/>
            </w:r>
          </w:hyperlink>
        </w:p>
        <w:p w14:paraId="464AF3DA" w14:textId="786A6905" w:rsidR="009B6507" w:rsidRDefault="009B6507">
          <w:pPr>
            <w:pStyle w:val="TDC2"/>
            <w:tabs>
              <w:tab w:val="right" w:leader="dot" w:pos="8830"/>
            </w:tabs>
            <w:rPr>
              <w:rFonts w:asciiTheme="minorHAnsi" w:eastAsiaTheme="minorEastAsia" w:hAnsiTheme="minorHAnsi" w:cstheme="minorBidi"/>
              <w:noProof/>
              <w:kern w:val="2"/>
              <w:sz w:val="24"/>
              <w:szCs w:val="24"/>
              <w:lang w:val="es-PY" w:eastAsia="es-PY"/>
              <w14:ligatures w14:val="standardContextual"/>
            </w:rPr>
          </w:pPr>
          <w:hyperlink w:anchor="_Toc220402603" w:history="1">
            <w:r w:rsidRPr="00A24475">
              <w:rPr>
                <w:rStyle w:val="Hipervnculo"/>
                <w:rFonts w:eastAsiaTheme="majorEastAsia"/>
                <w:bCs/>
                <w:noProof/>
                <w:lang w:val="es-PY"/>
              </w:rPr>
              <w:t>ANEXO IV</w:t>
            </w:r>
            <w:r>
              <w:rPr>
                <w:noProof/>
                <w:webHidden/>
              </w:rPr>
              <w:tab/>
            </w:r>
            <w:r>
              <w:rPr>
                <w:noProof/>
                <w:webHidden/>
              </w:rPr>
              <w:fldChar w:fldCharType="begin"/>
            </w:r>
            <w:r>
              <w:rPr>
                <w:noProof/>
                <w:webHidden/>
              </w:rPr>
              <w:instrText xml:space="preserve"> PAGEREF _Toc220402603 \h </w:instrText>
            </w:r>
            <w:r>
              <w:rPr>
                <w:noProof/>
                <w:webHidden/>
              </w:rPr>
            </w:r>
            <w:r>
              <w:rPr>
                <w:noProof/>
                <w:webHidden/>
              </w:rPr>
              <w:fldChar w:fldCharType="separate"/>
            </w:r>
            <w:r w:rsidR="001E23DA">
              <w:rPr>
                <w:noProof/>
                <w:webHidden/>
              </w:rPr>
              <w:t>38</w:t>
            </w:r>
            <w:r>
              <w:rPr>
                <w:noProof/>
                <w:webHidden/>
              </w:rPr>
              <w:fldChar w:fldCharType="end"/>
            </w:r>
          </w:hyperlink>
        </w:p>
        <w:p w14:paraId="4479BDDF" w14:textId="6C4A3ACD" w:rsidR="009B6507" w:rsidRDefault="009B6507">
          <w:pPr>
            <w:pStyle w:val="TDC4"/>
            <w:tabs>
              <w:tab w:val="left" w:pos="1200"/>
              <w:tab w:val="right" w:leader="dot" w:pos="8830"/>
            </w:tabs>
            <w:rPr>
              <w:rFonts w:asciiTheme="minorHAnsi" w:eastAsiaTheme="minorEastAsia" w:hAnsiTheme="minorHAnsi" w:cstheme="minorBidi"/>
              <w:noProof/>
              <w:kern w:val="2"/>
              <w:sz w:val="24"/>
              <w:szCs w:val="24"/>
              <w:lang w:val="es-PY" w:eastAsia="es-PY"/>
              <w14:ligatures w14:val="standardContextual"/>
            </w:rPr>
          </w:pPr>
          <w:hyperlink w:anchor="_Toc220402604" w:history="1">
            <w:r w:rsidRPr="00A24475">
              <w:rPr>
                <w:rStyle w:val="Hipervnculo"/>
                <w:rFonts w:ascii="Wingdings" w:hAnsi="Wingdings"/>
                <w:noProof/>
                <w:lang w:val="es-PY"/>
              </w:rPr>
              <w:t></w:t>
            </w:r>
            <w:r>
              <w:rPr>
                <w:rFonts w:asciiTheme="minorHAnsi" w:eastAsiaTheme="minorEastAsia" w:hAnsiTheme="minorHAnsi" w:cstheme="minorBidi"/>
                <w:noProof/>
                <w:kern w:val="2"/>
                <w:sz w:val="24"/>
                <w:szCs w:val="24"/>
                <w:lang w:val="es-PY" w:eastAsia="es-PY"/>
                <w14:ligatures w14:val="standardContextual"/>
              </w:rPr>
              <w:tab/>
            </w:r>
            <w:r w:rsidRPr="00A24475">
              <w:rPr>
                <w:rStyle w:val="Hipervnculo"/>
                <w:noProof/>
                <w:lang w:val="es-PY"/>
              </w:rPr>
              <w:t>PAI sobre beneficiarios de vacunas</w:t>
            </w:r>
            <w:r>
              <w:rPr>
                <w:noProof/>
                <w:webHidden/>
              </w:rPr>
              <w:tab/>
            </w:r>
            <w:r>
              <w:rPr>
                <w:noProof/>
                <w:webHidden/>
              </w:rPr>
              <w:fldChar w:fldCharType="begin"/>
            </w:r>
            <w:r>
              <w:rPr>
                <w:noProof/>
                <w:webHidden/>
              </w:rPr>
              <w:instrText xml:space="preserve"> PAGEREF _Toc220402604 \h </w:instrText>
            </w:r>
            <w:r>
              <w:rPr>
                <w:noProof/>
                <w:webHidden/>
              </w:rPr>
            </w:r>
            <w:r>
              <w:rPr>
                <w:noProof/>
                <w:webHidden/>
              </w:rPr>
              <w:fldChar w:fldCharType="separate"/>
            </w:r>
            <w:r w:rsidR="001E23DA">
              <w:rPr>
                <w:noProof/>
                <w:webHidden/>
              </w:rPr>
              <w:t>38</w:t>
            </w:r>
            <w:r>
              <w:rPr>
                <w:noProof/>
                <w:webHidden/>
              </w:rPr>
              <w:fldChar w:fldCharType="end"/>
            </w:r>
          </w:hyperlink>
        </w:p>
        <w:p w14:paraId="15867253" w14:textId="0D75FF63" w:rsidR="00C811DC" w:rsidRPr="000A36F5" w:rsidRDefault="00C811DC" w:rsidP="00C811DC">
          <w:pPr>
            <w:spacing w:after="0" w:line="240" w:lineRule="auto"/>
            <w:rPr>
              <w:szCs w:val="20"/>
              <w:highlight w:val="yellow"/>
            </w:rPr>
          </w:pPr>
          <w:r w:rsidRPr="00111A23">
            <w:rPr>
              <w:bCs/>
              <w:szCs w:val="20"/>
            </w:rPr>
            <w:fldChar w:fldCharType="end"/>
          </w:r>
        </w:p>
      </w:sdtContent>
    </w:sdt>
    <w:p w14:paraId="61DC93EC" w14:textId="6895367A" w:rsidR="00C811DC" w:rsidRPr="00C14FA7" w:rsidRDefault="00C811DC" w:rsidP="00C811DC">
      <w:pPr>
        <w:spacing w:after="0" w:line="240" w:lineRule="auto"/>
        <w:rPr>
          <w:b/>
          <w:bCs/>
          <w:szCs w:val="20"/>
        </w:rPr>
      </w:pPr>
    </w:p>
    <w:p w14:paraId="3B281F7A" w14:textId="77777777" w:rsidR="00C14FA7" w:rsidRDefault="00C14FA7" w:rsidP="00C811DC">
      <w:pPr>
        <w:spacing w:after="0" w:line="360" w:lineRule="auto"/>
        <w:ind w:left="1276" w:hanging="482"/>
        <w:jc w:val="both"/>
        <w:rPr>
          <w:szCs w:val="20"/>
          <w:highlight w:val="yellow"/>
        </w:rPr>
      </w:pPr>
    </w:p>
    <w:p w14:paraId="6623A04B" w14:textId="721C2212" w:rsidR="00C811DC" w:rsidRPr="000A36F5" w:rsidRDefault="00C811DC" w:rsidP="00C811DC">
      <w:pPr>
        <w:spacing w:after="0" w:line="360" w:lineRule="auto"/>
        <w:ind w:left="1276" w:hanging="482"/>
        <w:jc w:val="both"/>
        <w:rPr>
          <w:szCs w:val="20"/>
          <w:highlight w:val="yellow"/>
        </w:rPr>
      </w:pPr>
    </w:p>
    <w:p w14:paraId="7FC95C19" w14:textId="77777777" w:rsidR="00BB18A5" w:rsidRPr="00B07156" w:rsidRDefault="00BB18A5" w:rsidP="00BB18A5">
      <w:pPr>
        <w:pStyle w:val="Ttulo1"/>
        <w:spacing w:before="120" w:line="240" w:lineRule="auto"/>
        <w:jc w:val="both"/>
        <w:rPr>
          <w:rFonts w:ascii="Times New Roman" w:hAnsi="Times New Roman" w:cs="Times New Roman"/>
          <w:color w:val="00529C"/>
          <w:sz w:val="24"/>
          <w:lang w:val="es-PY"/>
        </w:rPr>
      </w:pPr>
      <w:bookmarkStart w:id="0" w:name="_Toc402357320"/>
      <w:bookmarkStart w:id="1" w:name="_Toc24386768"/>
      <w:bookmarkStart w:id="2" w:name="_Toc220402577"/>
      <w:r w:rsidRPr="00B07156">
        <w:rPr>
          <w:rFonts w:ascii="Times New Roman" w:hAnsi="Times New Roman" w:cs="Times New Roman"/>
          <w:color w:val="00529C"/>
          <w:sz w:val="24"/>
          <w:lang w:val="es-PY"/>
        </w:rPr>
        <w:t>SIGLAS</w:t>
      </w:r>
      <w:bookmarkEnd w:id="0"/>
      <w:bookmarkEnd w:id="1"/>
      <w:bookmarkEnd w:id="2"/>
      <w:r w:rsidRPr="00B07156">
        <w:rPr>
          <w:rFonts w:ascii="Times New Roman" w:hAnsi="Times New Roman" w:cs="Times New Roman"/>
          <w:color w:val="00529C"/>
          <w:sz w:val="24"/>
          <w:lang w:val="es-PY"/>
        </w:rPr>
        <w:t xml:space="preserve"> </w:t>
      </w:r>
    </w:p>
    <w:p w14:paraId="2769424F" w14:textId="77777777" w:rsidR="00947A62" w:rsidRDefault="00947A62" w:rsidP="00947A62">
      <w:pPr>
        <w:spacing w:after="0" w:line="360" w:lineRule="auto"/>
      </w:pPr>
      <w:r>
        <w:t>PANI = Programa Alimentario Nutricional Integral</w:t>
      </w:r>
    </w:p>
    <w:p w14:paraId="0C2196E9" w14:textId="77777777" w:rsidR="00947A62" w:rsidRDefault="00947A62" w:rsidP="00947A62">
      <w:pPr>
        <w:spacing w:after="0" w:line="360" w:lineRule="auto"/>
      </w:pPr>
      <w:r>
        <w:t>INAN = Instituto Nacional de Alimentación y nutrición</w:t>
      </w:r>
    </w:p>
    <w:p w14:paraId="7FA723AF" w14:textId="77777777" w:rsidR="00947A62" w:rsidRDefault="00947A62" w:rsidP="00947A62">
      <w:pPr>
        <w:spacing w:after="0" w:line="360" w:lineRule="auto"/>
      </w:pPr>
      <w:r>
        <w:t>CEBINFA = Centro de Bienestar de la Infancia y la Familia</w:t>
      </w:r>
    </w:p>
    <w:p w14:paraId="4A10F5DF" w14:textId="77777777" w:rsidR="00947A62" w:rsidRDefault="00947A62" w:rsidP="00947A62">
      <w:pPr>
        <w:spacing w:after="0" w:line="360" w:lineRule="auto"/>
      </w:pPr>
      <w:r>
        <w:t>PS = Puesto de Salud</w:t>
      </w:r>
    </w:p>
    <w:p w14:paraId="07B54B40" w14:textId="77777777" w:rsidR="00947A62" w:rsidRDefault="00947A62" w:rsidP="00947A62">
      <w:pPr>
        <w:spacing w:after="0" w:line="360" w:lineRule="auto"/>
      </w:pPr>
      <w:r>
        <w:t>RS = Región Sanitaria</w:t>
      </w:r>
    </w:p>
    <w:p w14:paraId="5114848E" w14:textId="77777777" w:rsidR="00947A62" w:rsidRDefault="00947A62" w:rsidP="00947A62">
      <w:pPr>
        <w:spacing w:after="0" w:line="360" w:lineRule="auto"/>
      </w:pPr>
      <w:r>
        <w:t>HR = Hospital Regional</w:t>
      </w:r>
    </w:p>
    <w:p w14:paraId="1B2E1F2B" w14:textId="77777777" w:rsidR="00947A62" w:rsidRDefault="00947A62" w:rsidP="00947A62">
      <w:pPr>
        <w:spacing w:after="0" w:line="360" w:lineRule="auto"/>
      </w:pPr>
      <w:r>
        <w:t>MSPyBS = Ministerio de Salud Pública y Bienestar Social</w:t>
      </w:r>
    </w:p>
    <w:p w14:paraId="536E7775" w14:textId="77777777" w:rsidR="00947A62" w:rsidRDefault="00947A62" w:rsidP="00947A62">
      <w:pPr>
        <w:spacing w:after="0" w:line="360" w:lineRule="auto"/>
      </w:pPr>
      <w:r>
        <w:t>USF = Unidad de Salud Familiar</w:t>
      </w:r>
    </w:p>
    <w:p w14:paraId="4FE99E3E" w14:textId="77777777" w:rsidR="00947A62" w:rsidRPr="00C27255" w:rsidRDefault="00947A62" w:rsidP="00947A62">
      <w:pPr>
        <w:spacing w:after="0" w:line="360" w:lineRule="auto"/>
      </w:pPr>
      <w:r w:rsidRPr="00C27255">
        <w:t>PAP =  Papanicolau</w:t>
      </w:r>
    </w:p>
    <w:p w14:paraId="50688917" w14:textId="77777777" w:rsidR="00947A62" w:rsidRDefault="00947A62" w:rsidP="00947A62">
      <w:pPr>
        <w:spacing w:after="0" w:line="360" w:lineRule="auto"/>
      </w:pPr>
      <w:r w:rsidRPr="00C27255">
        <w:t>ITS = Infección de Transmisión Sexual</w:t>
      </w:r>
    </w:p>
    <w:p w14:paraId="556005A8" w14:textId="77777777" w:rsidR="00947A62" w:rsidRPr="00C27255" w:rsidRDefault="00947A62" w:rsidP="00947A62">
      <w:pPr>
        <w:spacing w:after="0" w:line="360" w:lineRule="auto"/>
      </w:pPr>
      <w:r>
        <w:t>UTI= Unidades de Terapia Intensiva</w:t>
      </w:r>
    </w:p>
    <w:p w14:paraId="5FC5D0C0" w14:textId="77777777" w:rsidR="00947A62" w:rsidRPr="00C27255" w:rsidRDefault="00947A62" w:rsidP="00947A62">
      <w:pPr>
        <w:spacing w:after="0" w:line="360" w:lineRule="auto"/>
      </w:pPr>
      <w:r w:rsidRPr="00BF47E7">
        <w:t>PND = Plan</w:t>
      </w:r>
      <w:r>
        <w:t xml:space="preserve"> Nacional de Gobierno.</w:t>
      </w:r>
    </w:p>
    <w:p w14:paraId="42E643F8" w14:textId="77777777" w:rsidR="00947A62" w:rsidRPr="00C27255" w:rsidRDefault="00947A62" w:rsidP="00947A62">
      <w:pPr>
        <w:spacing w:after="0" w:line="360" w:lineRule="auto"/>
      </w:pPr>
      <w:r w:rsidRPr="00C27255">
        <w:t>MEF = Mujer en edad fértil</w:t>
      </w:r>
    </w:p>
    <w:p w14:paraId="16CA625A" w14:textId="77777777" w:rsidR="00947A62" w:rsidRPr="005C4DED" w:rsidRDefault="00947A62" w:rsidP="00947A62">
      <w:pPr>
        <w:spacing w:after="0" w:line="360" w:lineRule="auto"/>
      </w:pPr>
      <w:r>
        <w:t>RISS =</w:t>
      </w:r>
      <w:r w:rsidRPr="005C4DED">
        <w:t xml:space="preserve"> Red Integrada de Servicios de Salud</w:t>
      </w:r>
    </w:p>
    <w:p w14:paraId="6D2BE7B1" w14:textId="77777777" w:rsidR="00947A62" w:rsidRDefault="00947A62" w:rsidP="00947A62">
      <w:pPr>
        <w:spacing w:after="0" w:line="360" w:lineRule="auto"/>
        <w:rPr>
          <w:noProof/>
          <w:lang w:eastAsia="es-PY"/>
        </w:rPr>
      </w:pPr>
      <w:r w:rsidRPr="005B0E92">
        <w:rPr>
          <w:noProof/>
          <w:lang w:eastAsia="es-PY"/>
        </w:rPr>
        <w:t>BIRMM</w:t>
      </w:r>
      <w:r w:rsidRPr="005B0E92">
        <w:t xml:space="preserve"> = </w:t>
      </w:r>
      <w:r w:rsidRPr="00A621E2">
        <w:rPr>
          <w:noProof/>
          <w:lang w:eastAsia="es-PY"/>
        </w:rPr>
        <w:t>Búsqueda Intencionada y Recla</w:t>
      </w:r>
      <w:r>
        <w:rPr>
          <w:noProof/>
          <w:lang w:eastAsia="es-PY"/>
        </w:rPr>
        <w:t xml:space="preserve">sificación de Muertes Maternas </w:t>
      </w:r>
      <w:r w:rsidRPr="00A621E2">
        <w:rPr>
          <w:noProof/>
          <w:lang w:eastAsia="es-PY"/>
        </w:rPr>
        <w:t xml:space="preserve"> </w:t>
      </w:r>
    </w:p>
    <w:p w14:paraId="486458B4" w14:textId="77777777" w:rsidR="00947A62" w:rsidRPr="005C4DED" w:rsidRDefault="00947A62" w:rsidP="00947A62">
      <w:pPr>
        <w:spacing w:after="0" w:line="360" w:lineRule="auto"/>
      </w:pPr>
      <w:r w:rsidRPr="005C4DED">
        <w:t>LCSP</w:t>
      </w:r>
      <w:r>
        <w:t xml:space="preserve"> = </w:t>
      </w:r>
      <w:r w:rsidRPr="005C4DED">
        <w:t>Laboratorio Central de Salud Publica</w:t>
      </w:r>
    </w:p>
    <w:p w14:paraId="4CABBE57" w14:textId="77777777" w:rsidR="00947A62" w:rsidRPr="005C4DED" w:rsidRDefault="00947A62" w:rsidP="00947A62">
      <w:pPr>
        <w:spacing w:after="0" w:line="360" w:lineRule="auto"/>
      </w:pPr>
      <w:r w:rsidRPr="005C4DED">
        <w:t>PDIV</w:t>
      </w:r>
      <w:r>
        <w:t xml:space="preserve"> =</w:t>
      </w:r>
      <w:r w:rsidRPr="005C4DED">
        <w:t xml:space="preserve"> Producto de Diagnostico de Uso In Vitro</w:t>
      </w:r>
    </w:p>
    <w:p w14:paraId="73B1FE59" w14:textId="77777777" w:rsidR="00947A62" w:rsidRPr="005C4DED" w:rsidRDefault="00947A62" w:rsidP="00947A62">
      <w:pPr>
        <w:spacing w:after="0" w:line="360" w:lineRule="auto"/>
      </w:pPr>
      <w:r w:rsidRPr="005C4DED">
        <w:t>TB</w:t>
      </w:r>
      <w:r>
        <w:t xml:space="preserve"> =</w:t>
      </w:r>
      <w:r w:rsidRPr="005C4DED">
        <w:t xml:space="preserve"> Tuberculosis</w:t>
      </w:r>
    </w:p>
    <w:p w14:paraId="0E778802" w14:textId="77777777" w:rsidR="00947A62" w:rsidRPr="005C4DED" w:rsidRDefault="00947A62" w:rsidP="00947A62">
      <w:pPr>
        <w:spacing w:after="0" w:line="360" w:lineRule="auto"/>
      </w:pPr>
      <w:r w:rsidRPr="005C4DED">
        <w:t>OMS</w:t>
      </w:r>
      <w:r>
        <w:t xml:space="preserve"> =</w:t>
      </w:r>
      <w:r w:rsidRPr="005C4DED">
        <w:t xml:space="preserve"> Organización Mundial de la Salud</w:t>
      </w:r>
    </w:p>
    <w:p w14:paraId="1AA968F4" w14:textId="77777777" w:rsidR="00947A62" w:rsidRPr="00913C4B" w:rsidRDefault="00947A62" w:rsidP="00947A62">
      <w:pPr>
        <w:spacing w:after="0" w:line="360" w:lineRule="auto"/>
      </w:pPr>
      <w:r w:rsidRPr="0060789E">
        <w:t>PEEC =</w:t>
      </w:r>
      <w:r>
        <w:rPr>
          <w:rFonts w:ascii="Tahoma" w:hAnsi="Tahoma" w:cs="Tahoma"/>
          <w:color w:val="000000"/>
        </w:rPr>
        <w:t xml:space="preserve"> </w:t>
      </w:r>
      <w:r w:rsidRPr="00913C4B">
        <w:t>Programa de Evaluación Externa de la Calidad</w:t>
      </w:r>
    </w:p>
    <w:p w14:paraId="702C2344" w14:textId="77777777" w:rsidR="00947A62" w:rsidRDefault="00947A62" w:rsidP="00947A62">
      <w:pPr>
        <w:spacing w:after="0" w:line="360" w:lineRule="auto"/>
      </w:pPr>
      <w:r>
        <w:t>NV = Nacidos Vivos</w:t>
      </w:r>
    </w:p>
    <w:p w14:paraId="6851E49B" w14:textId="77777777" w:rsidR="00947A62" w:rsidRDefault="00947A62" w:rsidP="00947A62">
      <w:pPr>
        <w:spacing w:after="0" w:line="360" w:lineRule="auto"/>
      </w:pPr>
      <w:r>
        <w:t>UEP = Unidad Ejecutora de Proyecto</w:t>
      </w:r>
    </w:p>
    <w:p w14:paraId="28BC06B8" w14:textId="77777777" w:rsidR="00947A62" w:rsidRDefault="00947A62" w:rsidP="00947A62">
      <w:pPr>
        <w:spacing w:after="0" w:line="360" w:lineRule="auto"/>
      </w:pPr>
      <w:r>
        <w:t>FOCEM = Fondo de Convergencia Estructural del Mercosur</w:t>
      </w:r>
    </w:p>
    <w:p w14:paraId="505A96B6" w14:textId="77777777" w:rsidR="00947A62" w:rsidRPr="005923FF" w:rsidRDefault="00947A62" w:rsidP="00947A62">
      <w:pPr>
        <w:spacing w:after="0" w:line="360" w:lineRule="auto"/>
      </w:pPr>
      <w:r>
        <w:t>SENASA = Servicio Nacional de Saneamiento Ambiental</w:t>
      </w:r>
    </w:p>
    <w:p w14:paraId="3E54A41A" w14:textId="77777777" w:rsidR="00947A62" w:rsidRDefault="00947A62" w:rsidP="00947A62">
      <w:pPr>
        <w:spacing w:after="0" w:line="360" w:lineRule="auto"/>
        <w:jc w:val="both"/>
        <w:rPr>
          <w:szCs w:val="24"/>
        </w:rPr>
      </w:pPr>
      <w:r>
        <w:rPr>
          <w:szCs w:val="24"/>
        </w:rPr>
        <w:t>BID = Banco Interamericano de Desarrollo</w:t>
      </w:r>
    </w:p>
    <w:p w14:paraId="50284712" w14:textId="77777777" w:rsidR="00947A62" w:rsidRDefault="00947A62" w:rsidP="00947A62">
      <w:pPr>
        <w:spacing w:after="0" w:line="240" w:lineRule="auto"/>
        <w:jc w:val="both"/>
        <w:rPr>
          <w:szCs w:val="24"/>
        </w:rPr>
      </w:pPr>
      <w:r>
        <w:rPr>
          <w:szCs w:val="24"/>
        </w:rPr>
        <w:t>BIRF = Banco Interamericano de Reconstrucción y Fomento</w:t>
      </w:r>
    </w:p>
    <w:p w14:paraId="343B5E46" w14:textId="77777777" w:rsidR="00947A62" w:rsidRPr="00BC6855" w:rsidRDefault="00947A62" w:rsidP="00947A62">
      <w:pPr>
        <w:spacing w:after="0" w:line="240" w:lineRule="auto"/>
        <w:jc w:val="both"/>
        <w:rPr>
          <w:sz w:val="10"/>
          <w:szCs w:val="10"/>
        </w:rPr>
      </w:pPr>
    </w:p>
    <w:p w14:paraId="649C6A03" w14:textId="77777777" w:rsidR="00947A62" w:rsidRDefault="00947A62" w:rsidP="00947A62">
      <w:pPr>
        <w:spacing w:after="0" w:line="240" w:lineRule="auto"/>
        <w:jc w:val="both"/>
        <w:rPr>
          <w:szCs w:val="24"/>
        </w:rPr>
      </w:pPr>
      <w:r>
        <w:rPr>
          <w:szCs w:val="24"/>
        </w:rPr>
        <w:t>IPS= Instituto de Previsión Social</w:t>
      </w:r>
    </w:p>
    <w:p w14:paraId="5F9BD2F9" w14:textId="77777777" w:rsidR="00947A62" w:rsidRPr="00BC6855" w:rsidRDefault="00947A62" w:rsidP="00947A62">
      <w:pPr>
        <w:spacing w:after="0" w:line="240" w:lineRule="auto"/>
        <w:jc w:val="both"/>
        <w:rPr>
          <w:sz w:val="10"/>
          <w:szCs w:val="10"/>
        </w:rPr>
      </w:pPr>
    </w:p>
    <w:p w14:paraId="77F98B25" w14:textId="77777777" w:rsidR="00947A62" w:rsidRDefault="00947A62" w:rsidP="00947A62">
      <w:pPr>
        <w:spacing w:after="0" w:line="240" w:lineRule="auto"/>
        <w:jc w:val="both"/>
        <w:rPr>
          <w:szCs w:val="24"/>
        </w:rPr>
      </w:pPr>
      <w:r>
        <w:rPr>
          <w:szCs w:val="24"/>
        </w:rPr>
        <w:t>FOBARES= Fondo Basado en Resultados Sanitarios</w:t>
      </w:r>
    </w:p>
    <w:p w14:paraId="3B5C11D6" w14:textId="77777777" w:rsidR="00947A62" w:rsidRPr="005516DB" w:rsidRDefault="00947A62" w:rsidP="00947A62">
      <w:pPr>
        <w:spacing w:after="0" w:line="240" w:lineRule="auto"/>
        <w:jc w:val="both"/>
        <w:rPr>
          <w:sz w:val="10"/>
          <w:szCs w:val="10"/>
        </w:rPr>
      </w:pPr>
    </w:p>
    <w:p w14:paraId="56252146" w14:textId="77777777" w:rsidR="00947A62" w:rsidRDefault="00947A62" w:rsidP="00947A62">
      <w:pPr>
        <w:spacing w:after="0" w:line="240" w:lineRule="auto"/>
        <w:jc w:val="both"/>
        <w:rPr>
          <w:szCs w:val="24"/>
        </w:rPr>
      </w:pPr>
      <w:r>
        <w:rPr>
          <w:szCs w:val="24"/>
        </w:rPr>
        <w:t>PEI= Plan Estratégico Institucional</w:t>
      </w:r>
    </w:p>
    <w:p w14:paraId="697A4ECC" w14:textId="77777777" w:rsidR="00947A62" w:rsidRDefault="00947A62" w:rsidP="00947A62">
      <w:pPr>
        <w:spacing w:before="120" w:after="0" w:line="240" w:lineRule="auto"/>
        <w:jc w:val="both"/>
        <w:rPr>
          <w:szCs w:val="24"/>
        </w:rPr>
      </w:pPr>
      <w:r>
        <w:rPr>
          <w:szCs w:val="24"/>
        </w:rPr>
        <w:t>SIG= Sistema Informático Georeferencial.</w:t>
      </w:r>
    </w:p>
    <w:p w14:paraId="142DD62F" w14:textId="77777777" w:rsidR="00947A62" w:rsidRDefault="00947A62" w:rsidP="00947A62">
      <w:pPr>
        <w:spacing w:before="120" w:after="0" w:line="240" w:lineRule="auto"/>
        <w:jc w:val="both"/>
        <w:rPr>
          <w:szCs w:val="24"/>
        </w:rPr>
      </w:pPr>
      <w:r>
        <w:rPr>
          <w:szCs w:val="24"/>
        </w:rPr>
        <w:t>SAA= Subsistema de Área Ambulatoria.</w:t>
      </w:r>
    </w:p>
    <w:p w14:paraId="3D7E7608" w14:textId="77777777" w:rsidR="00947A62" w:rsidRPr="000A36F5" w:rsidRDefault="00947A62" w:rsidP="00947A62">
      <w:pPr>
        <w:spacing w:before="120" w:after="0" w:line="240" w:lineRule="auto"/>
        <w:jc w:val="both"/>
        <w:rPr>
          <w:szCs w:val="24"/>
          <w:highlight w:val="yellow"/>
        </w:rPr>
      </w:pPr>
      <w:r w:rsidRPr="00C211F8">
        <w:t>SICIAP</w:t>
      </w:r>
      <w:r>
        <w:t xml:space="preserve">= </w:t>
      </w:r>
      <w:r w:rsidRPr="00C211F8">
        <w:t>Sistema de Información y Control de Inventarios Automatizado del</w:t>
      </w:r>
      <w:r>
        <w:t xml:space="preserve"> </w:t>
      </w:r>
      <w:r w:rsidRPr="00C211F8">
        <w:t>Paraguay</w:t>
      </w:r>
    </w:p>
    <w:p w14:paraId="19A7A20C" w14:textId="77777777" w:rsidR="00C811DC" w:rsidRPr="000A36F5" w:rsidRDefault="00C811DC" w:rsidP="00C811DC">
      <w:pPr>
        <w:spacing w:before="120" w:after="0" w:line="240" w:lineRule="auto"/>
        <w:jc w:val="both"/>
        <w:rPr>
          <w:szCs w:val="24"/>
          <w:highlight w:val="yellow"/>
        </w:rPr>
      </w:pPr>
    </w:p>
    <w:p w14:paraId="0073BB99" w14:textId="77777777" w:rsidR="001E23DA" w:rsidRDefault="001E23DA" w:rsidP="00C811DC">
      <w:pPr>
        <w:spacing w:after="0" w:line="360" w:lineRule="auto"/>
        <w:ind w:left="1276" w:hanging="482"/>
        <w:jc w:val="both"/>
        <w:rPr>
          <w:rFonts w:eastAsiaTheme="majorEastAsia"/>
          <w:bCs/>
          <w:color w:val="417A84" w:themeColor="accent5" w:themeShade="BF"/>
          <w:sz w:val="26"/>
          <w:szCs w:val="26"/>
          <w:highlight w:val="yellow"/>
        </w:rPr>
      </w:pPr>
    </w:p>
    <w:p w14:paraId="2E60AC4C" w14:textId="72F09048" w:rsidR="00C811DC" w:rsidRPr="0097355C" w:rsidRDefault="00C811DC" w:rsidP="00C811DC">
      <w:pPr>
        <w:spacing w:after="0" w:line="360" w:lineRule="auto"/>
        <w:ind w:left="1276" w:hanging="482"/>
        <w:jc w:val="both"/>
        <w:rPr>
          <w:rFonts w:eastAsiaTheme="majorEastAsia"/>
          <w:b/>
          <w:bCs/>
          <w:sz w:val="26"/>
          <w:szCs w:val="26"/>
          <w:highlight w:val="yellow"/>
        </w:rPr>
      </w:pPr>
    </w:p>
    <w:p w14:paraId="4DBE9D6D" w14:textId="77777777" w:rsidR="00BB18A5" w:rsidRPr="00B07156" w:rsidRDefault="00BB18A5" w:rsidP="00BB18A5">
      <w:pPr>
        <w:pStyle w:val="Ttulo1"/>
        <w:spacing w:before="120" w:line="240" w:lineRule="auto"/>
        <w:jc w:val="both"/>
        <w:rPr>
          <w:rFonts w:ascii="Times New Roman" w:hAnsi="Times New Roman" w:cs="Times New Roman"/>
          <w:color w:val="00529C"/>
          <w:sz w:val="24"/>
          <w:lang w:val="es-PY"/>
        </w:rPr>
      </w:pPr>
      <w:bookmarkStart w:id="3" w:name="_Toc24386769"/>
      <w:bookmarkStart w:id="4" w:name="_Toc402357321"/>
      <w:bookmarkStart w:id="5" w:name="_Toc220402578"/>
      <w:r w:rsidRPr="00B07156">
        <w:rPr>
          <w:rFonts w:ascii="Times New Roman" w:hAnsi="Times New Roman" w:cs="Times New Roman"/>
          <w:color w:val="00529C"/>
          <w:sz w:val="24"/>
          <w:lang w:val="es-PY"/>
        </w:rPr>
        <w:t>GLOSARIO DE TÉRMINOS</w:t>
      </w:r>
      <w:bookmarkEnd w:id="3"/>
      <w:bookmarkEnd w:id="5"/>
    </w:p>
    <w:p w14:paraId="41F1AC63" w14:textId="77777777" w:rsidR="00947A62" w:rsidRDefault="00947A62" w:rsidP="00947A62">
      <w:pPr>
        <w:spacing w:before="120" w:after="0" w:line="240" w:lineRule="auto"/>
        <w:jc w:val="both"/>
        <w:rPr>
          <w:lang w:val="es-PY"/>
        </w:rPr>
      </w:pPr>
      <w:r w:rsidRPr="00066A39">
        <w:rPr>
          <w:b/>
        </w:rPr>
        <w:t xml:space="preserve">Acceso Universal a la Salud: </w:t>
      </w:r>
      <w:r w:rsidRPr="00066A39">
        <w:rPr>
          <w:lang w:val="es-PY"/>
        </w:rPr>
        <w:t>Se define como la ausencia de barreras de tipo geográfico, económico, sociocultural, de organización o de género. El acceso universal se logra a través de la eliminación progresiva de las barreras que impiden que todas las personas utilicen servicios integrales de salud, determinados a nivel nacional, de manera equitativa.</w:t>
      </w:r>
    </w:p>
    <w:p w14:paraId="6F6F2116" w14:textId="77777777" w:rsidR="00947A62" w:rsidRDefault="00947A62" w:rsidP="00947A62">
      <w:pPr>
        <w:spacing w:before="120" w:after="0" w:line="240" w:lineRule="auto"/>
        <w:jc w:val="both"/>
      </w:pPr>
      <w:r w:rsidRPr="00066A39">
        <w:rPr>
          <w:b/>
          <w:bCs/>
        </w:rPr>
        <w:t>Agentes comunitarios de la salud (ACS):</w:t>
      </w:r>
      <w:r w:rsidRPr="00066A39">
        <w:t xml:space="preserve"> Son el complemento necesario para fortalecer el vínculo entre el equipo de salud de la familia y la comunidad, con responsabilidad sobre una determinada área geográfica del territorio social (micro territorio). Realizan acciones educativas, de promoción, prevención, y vigilancia de acuerdo con la planificación del Equipo de Salud de la Familia. Constituyen un elemento clave e imprescindible para instalar el cuidado de la salud desde una perspectiva territorial y promocional.</w:t>
      </w:r>
    </w:p>
    <w:p w14:paraId="15554201" w14:textId="77777777" w:rsidR="00947A62" w:rsidRDefault="00947A62" w:rsidP="00947A62">
      <w:pPr>
        <w:spacing w:before="120" w:after="0" w:line="240" w:lineRule="auto"/>
        <w:jc w:val="both"/>
      </w:pPr>
      <w:r w:rsidRPr="00066A39">
        <w:rPr>
          <w:b/>
          <w:bCs/>
        </w:rPr>
        <w:t>Atención de Salud:</w:t>
      </w:r>
      <w:r w:rsidRPr="00066A39">
        <w:t xml:space="preserve"> Es la actividad desarrollada tendiente a promover la salud, prevenir la enfermedad, curar, recuperar y rehabilitar al individuo, la familia, la comunidad</w:t>
      </w:r>
      <w:r>
        <w:t xml:space="preserve"> </w:t>
      </w:r>
      <w:r w:rsidRPr="00066A39">
        <w:t>necesarios para el cumplimiento de los objetivos de la unidad asistencial, sus servicios y organización.</w:t>
      </w:r>
    </w:p>
    <w:p w14:paraId="02D1E155" w14:textId="77777777" w:rsidR="00947A62" w:rsidRDefault="00947A62" w:rsidP="00947A62">
      <w:pPr>
        <w:spacing w:before="120" w:after="0" w:line="240" w:lineRule="auto"/>
        <w:jc w:val="both"/>
      </w:pPr>
      <w:r w:rsidRPr="00066A39">
        <w:rPr>
          <w:b/>
          <w:bCs/>
        </w:rPr>
        <w:t>Calidad de la atención:</w:t>
      </w:r>
      <w:r w:rsidRPr="00066A39">
        <w:t xml:space="preserve"> Grado en el que los servicios de salud prestados a personas y poblaciones aumentan la probabilidad de lograr los resultados sanitarios deseados y en coherencia con los conocimientos científicos y profesionales del momento.</w:t>
      </w:r>
    </w:p>
    <w:p w14:paraId="48BE1980" w14:textId="77777777" w:rsidR="00947A62" w:rsidRDefault="00947A62" w:rsidP="00947A62">
      <w:pPr>
        <w:spacing w:before="120" w:after="0" w:line="240" w:lineRule="auto"/>
        <w:jc w:val="both"/>
      </w:pPr>
      <w:r w:rsidRPr="00066A39">
        <w:rPr>
          <w:b/>
          <w:bCs/>
        </w:rPr>
        <w:t>Red Integrada e Integral de Servicios de Salud (RIISS):</w:t>
      </w:r>
      <w:r w:rsidRPr="00066A39">
        <w:t xml:space="preserve"> La RIISS denominada “TESAI PYAHURA PARAGUAY” es un conjunto de servicios de salud vinculados entre sí por su misión única, por objetivos comunes y funcionamiento cooperativo e interdependiente, que permiten ofrecer atención continua e integral a la 1 Niveles de atención, de prevención y atención primaria de la salud. Arch Med Interna 2011; XXXIII (1) 14 población, de forma humanizada, segura y con equidad.</w:t>
      </w:r>
    </w:p>
    <w:p w14:paraId="3FE51001" w14:textId="77777777" w:rsidR="00947A62" w:rsidRDefault="00947A62" w:rsidP="00947A62">
      <w:pPr>
        <w:spacing w:before="120" w:after="0" w:line="240" w:lineRule="auto"/>
        <w:jc w:val="both"/>
      </w:pPr>
      <w:r w:rsidRPr="00D64D7C">
        <w:rPr>
          <w:b/>
          <w:bCs/>
        </w:rPr>
        <w:t>Sistema de Salud:</w:t>
      </w:r>
      <w:r w:rsidRPr="00D64D7C">
        <w:t xml:space="preserve"> Conjunto de organizaciones, individuos y acciones cuya intención primordial es promover, recuperar y/o mejorar la salud.</w:t>
      </w:r>
    </w:p>
    <w:p w14:paraId="74802B95" w14:textId="529AD23F" w:rsidR="00947A62" w:rsidRPr="007F4A8A" w:rsidRDefault="00947A62" w:rsidP="00947A62">
      <w:pPr>
        <w:spacing w:before="120" w:after="0" w:line="240" w:lineRule="auto"/>
        <w:jc w:val="both"/>
        <w:rPr>
          <w:lang w:val="es-PY"/>
        </w:rPr>
      </w:pPr>
      <w:r w:rsidRPr="00947A62">
        <w:rPr>
          <w:b/>
          <w:bCs/>
        </w:rPr>
        <w:t>RAC</w:t>
      </w:r>
      <w:r>
        <w:rPr>
          <w:b/>
          <w:bCs/>
        </w:rPr>
        <w:t>:</w:t>
      </w:r>
      <w:r w:rsidRPr="00947A62">
        <w:rPr>
          <w:b/>
          <w:bCs/>
        </w:rPr>
        <w:t xml:space="preserve"> </w:t>
      </w:r>
      <w:r w:rsidRPr="00947A62">
        <w:t>Recibir, Acoger y Clasificar, es un proceso de valoración clínica preliminar que clasifica a los pacientes en urgencias según su gravedad y no por orden de llegada</w:t>
      </w:r>
      <w:r>
        <w:t>.</w:t>
      </w:r>
    </w:p>
    <w:p w14:paraId="568C5694" w14:textId="77777777" w:rsidR="00FF19B1" w:rsidRPr="000A36F5" w:rsidRDefault="00FF19B1">
      <w:pPr>
        <w:spacing w:after="0" w:line="360" w:lineRule="auto"/>
        <w:ind w:left="1276" w:hanging="482"/>
        <w:jc w:val="both"/>
        <w:rPr>
          <w:rFonts w:eastAsiaTheme="majorEastAsia"/>
          <w:b/>
          <w:bCs/>
          <w:color w:val="143F6A" w:themeColor="accent2" w:themeShade="80"/>
          <w:sz w:val="24"/>
          <w:szCs w:val="28"/>
          <w:highlight w:val="yellow"/>
          <w:lang w:val="es-PY"/>
        </w:rPr>
      </w:pPr>
      <w:r w:rsidRPr="000A36F5">
        <w:rPr>
          <w:color w:val="143F6A" w:themeColor="accent2" w:themeShade="80"/>
          <w:sz w:val="24"/>
          <w:highlight w:val="yellow"/>
          <w:lang w:val="es-PY"/>
        </w:rPr>
        <w:br w:type="page"/>
      </w:r>
    </w:p>
    <w:p w14:paraId="64E2FC41" w14:textId="77777777" w:rsidR="00927BB7" w:rsidRDefault="00927BB7" w:rsidP="00BB18A5">
      <w:pPr>
        <w:pStyle w:val="Ttulo1"/>
        <w:spacing w:before="120" w:line="240" w:lineRule="auto"/>
        <w:jc w:val="both"/>
        <w:rPr>
          <w:rFonts w:ascii="Times New Roman" w:hAnsi="Times New Roman" w:cs="Times New Roman"/>
          <w:color w:val="00529C"/>
          <w:sz w:val="24"/>
          <w:lang w:val="es-PY"/>
        </w:rPr>
      </w:pPr>
      <w:bookmarkStart w:id="6" w:name="_Toc24386770"/>
      <w:bookmarkEnd w:id="4"/>
    </w:p>
    <w:p w14:paraId="60E25975" w14:textId="5DBE3423" w:rsidR="00BB18A5" w:rsidRPr="00B07156" w:rsidRDefault="00BB18A5" w:rsidP="00BB18A5">
      <w:pPr>
        <w:pStyle w:val="Ttulo1"/>
        <w:spacing w:before="120" w:line="240" w:lineRule="auto"/>
        <w:jc w:val="both"/>
        <w:rPr>
          <w:rFonts w:ascii="Times New Roman" w:hAnsi="Times New Roman" w:cs="Times New Roman"/>
          <w:bCs w:val="0"/>
          <w:color w:val="00529C"/>
          <w:sz w:val="24"/>
          <w:lang w:val="es-PY"/>
        </w:rPr>
      </w:pPr>
      <w:bookmarkStart w:id="7" w:name="_Toc220402579"/>
      <w:r w:rsidRPr="00B07156">
        <w:rPr>
          <w:rFonts w:ascii="Times New Roman" w:hAnsi="Times New Roman" w:cs="Times New Roman"/>
          <w:color w:val="00529C"/>
          <w:sz w:val="24"/>
          <w:lang w:val="es-PY"/>
        </w:rPr>
        <w:t>PRESENTACIÓN</w:t>
      </w:r>
      <w:bookmarkEnd w:id="6"/>
      <w:bookmarkEnd w:id="7"/>
    </w:p>
    <w:p w14:paraId="3BBD41C5" w14:textId="77777777" w:rsidR="00927BB7" w:rsidRPr="00E02706" w:rsidRDefault="00927BB7" w:rsidP="00927BB7">
      <w:pPr>
        <w:spacing w:before="120" w:after="0" w:line="240" w:lineRule="auto"/>
        <w:jc w:val="both"/>
      </w:pPr>
      <w:r w:rsidRPr="00E02706">
        <w:t>La mejora constante en el acceso y la cobertura universal de la salud en Paraguay está alineada con los principios y directrices de la Organización Mundial de la Salud (OMS), que aboga por el acceso equitativo a servicios de salud de calidad para todas las personas, independientemente de su condición socioeconómica y cultural. Avanzar en esta dirección implica implementar estrategias que permitan superar barreras geográficas, económicas y sociales, garantizando que cada individuo pueda beneficiarse de servicios de salud esenciales (OPS, 2022).</w:t>
      </w:r>
    </w:p>
    <w:p w14:paraId="6690F86F" w14:textId="77777777" w:rsidR="00927BB7" w:rsidRPr="00E02706" w:rsidRDefault="00927BB7" w:rsidP="00927BB7">
      <w:pPr>
        <w:spacing w:before="120" w:after="0" w:line="240" w:lineRule="auto"/>
        <w:jc w:val="both"/>
      </w:pPr>
      <w:r w:rsidRPr="00E02706">
        <w:t>La cobertura universal de salud implica que todas las personas tengan acceso a servicios de salud sin sufrir dificultades financieras. Este objetivo refleja el compromiso de garantizar que nadie quede excluido de la atención médica necesaria debido a limitaciones económicas. Para lograrlo, es esencial fortalecer los sistemas de salud, mejorar la infraestructura, garantizar la disponibilidad de recursos y fomentar enfoques integrales centrados en la persona.</w:t>
      </w:r>
    </w:p>
    <w:p w14:paraId="62979A4E" w14:textId="77777777" w:rsidR="00927BB7" w:rsidRPr="00E02706" w:rsidRDefault="00927BB7" w:rsidP="00927BB7">
      <w:pPr>
        <w:spacing w:before="120" w:after="0" w:line="240" w:lineRule="auto"/>
        <w:jc w:val="both"/>
      </w:pPr>
      <w:r w:rsidRPr="00E02706">
        <w:t>Avanzar hacia la cobertura y el acceso universal de la salud en Paraguay representa un firme compromiso con la equidad, la calidad y la sostenibilidad de los servicios de salud, en línea con los estándares internacionales para promover el bienestar y la salud de la población paraguaya, sin ningún tipo de discriminación.</w:t>
      </w:r>
    </w:p>
    <w:p w14:paraId="6D079653" w14:textId="77777777" w:rsidR="00927BB7" w:rsidRPr="00E02706" w:rsidRDefault="00927BB7" w:rsidP="00927BB7">
      <w:pPr>
        <w:spacing w:before="120" w:after="0" w:line="240" w:lineRule="auto"/>
        <w:jc w:val="both"/>
      </w:pPr>
      <w:r w:rsidRPr="00E02706">
        <w:t>El Plan Estratégico Institucional para el quinquenio 2024-2028 ha abordado este desafío, planificando objetivos y acciones estratégicas para dicho periodo. Estos se enmarcan dentro de los Cuatro Objetivos Estratégicos Institucionales establecidos por el Ministerio de Salud y Bienestar Social: 1. Fortalecer los servicios de salud integrales y de calidad centrados en las personas y basados en la atención primaria; 2. Fortalecer las funciones de rectoría y gobernanza institucional; 3. Aumentar el acceso al agua potable, saneamiento mejorado y alcantarillado sanitario en comunidades rurales e indígenas; y 4. Fortalecer la gestión institucional orientada al cumplimiento eficiente de los propósitos misionales. Estos objetivos representan una hoja de ruta sólida para fortalecer la infraestructura, mejorar la gestión y garantizar servicios integrales, avanzando hacia una cobertura y acceso universal en beneficio de toda la sociedad paraguaya.</w:t>
      </w:r>
    </w:p>
    <w:p w14:paraId="571ECEE2" w14:textId="77777777" w:rsidR="00927BB7" w:rsidRPr="00E02706" w:rsidRDefault="00927BB7" w:rsidP="00927BB7">
      <w:pPr>
        <w:spacing w:before="120" w:after="0" w:line="240" w:lineRule="auto"/>
        <w:jc w:val="both"/>
      </w:pPr>
      <w:r w:rsidRPr="00E02706">
        <w:t>La orientación del Plan Estratégico Institucional hacia la cobertura y acceso universal de la salud en Paraguay refleja un compromiso claro con la equidad y calidad en la atención, alineándose con las directrices de la Política Nacional de Salud y el Plan Nacional de Desarrollo del país. Este enfoque se traduce en objetivos y acciones estratégicas para superar barreras económicas, sociales y culturales, con especial atención en la salud de la población menos favorecida.</w:t>
      </w:r>
    </w:p>
    <w:p w14:paraId="286F7007" w14:textId="77777777" w:rsidR="00C811DC" w:rsidRDefault="00C811DC" w:rsidP="00C811DC">
      <w:pPr>
        <w:spacing w:after="0" w:line="360" w:lineRule="auto"/>
        <w:jc w:val="both"/>
        <w:rPr>
          <w:rFonts w:eastAsiaTheme="majorEastAsia"/>
          <w:bCs/>
          <w:color w:val="417A84" w:themeColor="accent5" w:themeShade="BF"/>
          <w:sz w:val="26"/>
          <w:szCs w:val="26"/>
          <w:highlight w:val="yellow"/>
        </w:rPr>
      </w:pPr>
      <w:r w:rsidRPr="000A36F5">
        <w:rPr>
          <w:rFonts w:eastAsiaTheme="majorEastAsia"/>
          <w:bCs/>
          <w:color w:val="417A84" w:themeColor="accent5" w:themeShade="BF"/>
          <w:sz w:val="26"/>
          <w:szCs w:val="26"/>
          <w:highlight w:val="yellow"/>
        </w:rPr>
        <w:br w:type="page"/>
      </w:r>
    </w:p>
    <w:p w14:paraId="56297BB5" w14:textId="77777777" w:rsidR="00BB18A5" w:rsidRPr="009D199A" w:rsidRDefault="00BB18A5" w:rsidP="00BB18A5">
      <w:pPr>
        <w:pStyle w:val="Ttulo1"/>
        <w:numPr>
          <w:ilvl w:val="0"/>
          <w:numId w:val="5"/>
        </w:numPr>
        <w:spacing w:before="120" w:line="240" w:lineRule="auto"/>
        <w:ind w:left="0" w:firstLine="0"/>
        <w:jc w:val="both"/>
        <w:rPr>
          <w:color w:val="00529C"/>
          <w:sz w:val="24"/>
          <w:szCs w:val="24"/>
        </w:rPr>
      </w:pPr>
      <w:bookmarkStart w:id="8" w:name="_Toc402357322"/>
      <w:bookmarkStart w:id="9" w:name="_Toc24386771"/>
      <w:bookmarkStart w:id="10" w:name="_Toc220402580"/>
      <w:r w:rsidRPr="009D199A">
        <w:rPr>
          <w:rFonts w:ascii="Times New Roman" w:hAnsi="Times New Roman" w:cs="Times New Roman"/>
          <w:color w:val="00529C"/>
          <w:sz w:val="24"/>
          <w:szCs w:val="24"/>
          <w:lang w:val="es-PY"/>
        </w:rPr>
        <w:lastRenderedPageBreak/>
        <w:t>INTERVENCIÓN DE LA ENTIDAD</w:t>
      </w:r>
      <w:bookmarkEnd w:id="8"/>
      <w:bookmarkEnd w:id="9"/>
      <w:bookmarkEnd w:id="10"/>
      <w:r w:rsidRPr="009D199A">
        <w:rPr>
          <w:rFonts w:ascii="Times New Roman" w:hAnsi="Times New Roman" w:cs="Times New Roman"/>
          <w:color w:val="00529C"/>
          <w:sz w:val="24"/>
          <w:szCs w:val="24"/>
          <w:lang w:val="es-PY"/>
        </w:rPr>
        <w:t xml:space="preserve"> </w:t>
      </w:r>
    </w:p>
    <w:p w14:paraId="107BAD51" w14:textId="77777777" w:rsidR="00BB18A5" w:rsidRPr="009D199A" w:rsidRDefault="00BB18A5" w:rsidP="00BB18A5">
      <w:pPr>
        <w:pStyle w:val="Ttulo2"/>
        <w:numPr>
          <w:ilvl w:val="1"/>
          <w:numId w:val="11"/>
        </w:numPr>
        <w:spacing w:before="120"/>
        <w:ind w:left="0" w:firstLine="0"/>
        <w:jc w:val="both"/>
        <w:rPr>
          <w:color w:val="00529C"/>
          <w:sz w:val="24"/>
        </w:rPr>
      </w:pPr>
      <w:bookmarkStart w:id="11" w:name="_Toc24386772"/>
      <w:bookmarkStart w:id="12" w:name="_Toc402357324"/>
      <w:bookmarkStart w:id="13" w:name="_Toc402357323"/>
      <w:bookmarkStart w:id="14" w:name="_Toc220402581"/>
      <w:r w:rsidRPr="009D199A">
        <w:rPr>
          <w:color w:val="00529C"/>
          <w:sz w:val="24"/>
        </w:rPr>
        <w:t>Rol de la Entidad y su vinculación con los Planes</w:t>
      </w:r>
      <w:bookmarkEnd w:id="11"/>
      <w:bookmarkEnd w:id="14"/>
      <w:r w:rsidRPr="009D199A">
        <w:rPr>
          <w:color w:val="00529C"/>
          <w:sz w:val="24"/>
        </w:rPr>
        <w:t xml:space="preserve"> </w:t>
      </w:r>
    </w:p>
    <w:bookmarkEnd w:id="12"/>
    <w:bookmarkEnd w:id="13"/>
    <w:p w14:paraId="4B533A3D" w14:textId="77777777" w:rsidR="00927BB7" w:rsidRPr="00927BB7" w:rsidRDefault="00927BB7" w:rsidP="00927BB7">
      <w:pPr>
        <w:pStyle w:val="Prrafodelista"/>
        <w:numPr>
          <w:ilvl w:val="0"/>
          <w:numId w:val="11"/>
        </w:numPr>
        <w:spacing w:before="120" w:after="0" w:line="240" w:lineRule="auto"/>
        <w:jc w:val="both"/>
        <w:rPr>
          <w:rFonts w:ascii="Times New Roman" w:eastAsiaTheme="minorHAnsi" w:hAnsi="Times New Roman"/>
        </w:rPr>
      </w:pPr>
      <w:r w:rsidRPr="00927BB7">
        <w:rPr>
          <w:rFonts w:ascii="Times New Roman" w:eastAsiaTheme="minorHAnsi" w:hAnsi="Times New Roman"/>
        </w:rPr>
        <w:t>El Ministerio de Salud Pública y Bienestar Social es un Ente rector que coordina y ejecuta las políticas públicas de salud, con el propósito de garantizar la cobertura y el acceso para toda la población en forma equitativa, con un enfoque integral, inclusivo, unificado, sostenible, colaborativo y participativo, según sus definiciones misionales.</w:t>
      </w:r>
    </w:p>
    <w:p w14:paraId="52EE2008" w14:textId="77777777" w:rsidR="00927BB7" w:rsidRPr="00927BB7" w:rsidRDefault="00927BB7" w:rsidP="00927BB7">
      <w:pPr>
        <w:pStyle w:val="Prrafodelista"/>
        <w:numPr>
          <w:ilvl w:val="0"/>
          <w:numId w:val="11"/>
        </w:numPr>
        <w:spacing w:before="120" w:after="0" w:line="240" w:lineRule="auto"/>
        <w:jc w:val="both"/>
        <w:rPr>
          <w:rFonts w:ascii="Times New Roman" w:eastAsiaTheme="minorHAnsi" w:hAnsi="Times New Roman"/>
        </w:rPr>
      </w:pPr>
      <w:r w:rsidRPr="00927BB7">
        <w:rPr>
          <w:rFonts w:ascii="Times New Roman" w:eastAsiaTheme="minorHAnsi" w:hAnsi="Times New Roman"/>
        </w:rPr>
        <w:t> En este contexto, resaltan las prioridades institucionales que se estructuran en cuatro pilares fundamentales: el acceso equitativo a servicios de salud integrales centrada en las personas y basado en la atención primaria, rectoría y gobernanza, acceso al agua potable, saneamiento mejorado y alcantarillado y la gestión institucional.</w:t>
      </w:r>
    </w:p>
    <w:p w14:paraId="144FC600" w14:textId="77777777" w:rsidR="00927BB7" w:rsidRPr="00927BB7" w:rsidRDefault="00927BB7" w:rsidP="00927BB7">
      <w:pPr>
        <w:pStyle w:val="Prrafodelista"/>
        <w:numPr>
          <w:ilvl w:val="0"/>
          <w:numId w:val="11"/>
        </w:numPr>
        <w:spacing w:before="120" w:after="0" w:line="240" w:lineRule="auto"/>
        <w:jc w:val="both"/>
        <w:rPr>
          <w:rFonts w:ascii="Times New Roman" w:eastAsiaTheme="minorHAnsi" w:hAnsi="Times New Roman"/>
        </w:rPr>
      </w:pPr>
      <w:r w:rsidRPr="00927BB7">
        <w:rPr>
          <w:rFonts w:ascii="Times New Roman" w:eastAsiaTheme="minorHAnsi" w:hAnsi="Times New Roman"/>
        </w:rPr>
        <w:t>Queda claro que el primer pilar se relaciona con la red de servicios de salud, cuyo desafío es potenciarla, considerando que la Unidad de Salud de la Familia es la puerta de entrada al servicio de salud, al encontrarse más próxima a la comunidad; el segundo pilar la rectoría en salud pública constituye el punto crítico que se debe fortalecer; el tercer pilar aumentar el acceso al agua potable, saneamiento mejorado y alcantarillado sanitario en comunidades rurales e indígenas; y el cuarto pilar es fundamental fortalecer la gestión institucional orientada al cumplimiento eficiente de los propósitos misionales.</w:t>
      </w:r>
    </w:p>
    <w:p w14:paraId="536BA17A" w14:textId="77777777" w:rsidR="00927BB7" w:rsidRPr="00927BB7" w:rsidRDefault="00927BB7" w:rsidP="00927BB7">
      <w:pPr>
        <w:pStyle w:val="Prrafodelista"/>
        <w:numPr>
          <w:ilvl w:val="0"/>
          <w:numId w:val="11"/>
        </w:numPr>
        <w:spacing w:before="120" w:after="0" w:line="240" w:lineRule="auto"/>
        <w:jc w:val="both"/>
        <w:rPr>
          <w:rFonts w:ascii="Times New Roman" w:eastAsiaTheme="minorHAnsi" w:hAnsi="Times New Roman"/>
        </w:rPr>
      </w:pPr>
      <w:r w:rsidRPr="00927BB7">
        <w:rPr>
          <w:rFonts w:ascii="Times New Roman" w:eastAsiaTheme="minorHAnsi" w:hAnsi="Times New Roman"/>
        </w:rPr>
        <w:t>Por otro lado, la relevancia de la formación de los recursos humanos radica en la búsqueda de una carrera sanitaria, siendo la única vía para obtener la profesionalización. En ese sentido, es crucial destacar que el personal de salud abarca no solo al personal de blanco, sino también al personal administrativo, desempeñando un papel fundamental en la organización de los servicios. Asimismo, es esencial asegurar el bienestar de los recursos humanos en zonas distantes y aisladas.</w:t>
      </w:r>
    </w:p>
    <w:p w14:paraId="631E96FE" w14:textId="77777777" w:rsidR="00927BB7" w:rsidRPr="00927BB7" w:rsidRDefault="00927BB7" w:rsidP="00927BB7">
      <w:pPr>
        <w:pStyle w:val="Prrafodelista"/>
        <w:numPr>
          <w:ilvl w:val="0"/>
          <w:numId w:val="11"/>
        </w:numPr>
        <w:spacing w:before="120" w:after="0" w:line="240" w:lineRule="auto"/>
        <w:jc w:val="both"/>
        <w:rPr>
          <w:rFonts w:ascii="Times New Roman" w:eastAsiaTheme="minorHAnsi" w:hAnsi="Times New Roman"/>
        </w:rPr>
      </w:pPr>
      <w:r w:rsidRPr="00927BB7">
        <w:rPr>
          <w:rFonts w:ascii="Times New Roman" w:eastAsiaTheme="minorHAnsi" w:hAnsi="Times New Roman"/>
        </w:rPr>
        <w:t>En tal sentido se menciona algunas de las prioridades institucionales como la de fortalecer las Redes Integradas e Integral de Servicios de Salud, a través del mejoramiento de la infraestructura edilicia de las Unidades de Salud de las Familias - USFs.</w:t>
      </w:r>
    </w:p>
    <w:p w14:paraId="279367AA" w14:textId="77777777" w:rsidR="00927BB7" w:rsidRPr="00927BB7" w:rsidRDefault="00927BB7" w:rsidP="00927BB7">
      <w:pPr>
        <w:pStyle w:val="Prrafodelista"/>
        <w:numPr>
          <w:ilvl w:val="0"/>
          <w:numId w:val="11"/>
        </w:numPr>
        <w:spacing w:before="120" w:after="0" w:line="240" w:lineRule="auto"/>
        <w:jc w:val="both"/>
        <w:rPr>
          <w:rFonts w:ascii="Times New Roman" w:eastAsiaTheme="minorHAnsi" w:hAnsi="Times New Roman"/>
        </w:rPr>
      </w:pPr>
      <w:r w:rsidRPr="00927BB7">
        <w:rPr>
          <w:rFonts w:ascii="Times New Roman" w:eastAsiaTheme="minorHAnsi" w:hAnsi="Times New Roman"/>
        </w:rPr>
        <w:t>Está planificado que todas las nuevas Unidades de Salud de la Familia (USFs) cuenten con equipamientos básicos, así como se tiene previsto aumentar camas nuevas de Unidades de Terapia Intensiva – UTI.</w:t>
      </w:r>
    </w:p>
    <w:p w14:paraId="5CFCB2FB" w14:textId="77777777" w:rsidR="00927BB7" w:rsidRPr="00927BB7" w:rsidRDefault="00927BB7" w:rsidP="00927BB7">
      <w:pPr>
        <w:pStyle w:val="Prrafodelista"/>
        <w:numPr>
          <w:ilvl w:val="0"/>
          <w:numId w:val="11"/>
        </w:numPr>
        <w:spacing w:before="120" w:after="0" w:line="240" w:lineRule="auto"/>
        <w:jc w:val="both"/>
        <w:rPr>
          <w:rFonts w:ascii="Times New Roman" w:eastAsiaTheme="minorHAnsi" w:hAnsi="Times New Roman"/>
        </w:rPr>
      </w:pPr>
      <w:r w:rsidRPr="00927BB7">
        <w:rPr>
          <w:rFonts w:ascii="Times New Roman" w:eastAsiaTheme="minorHAnsi" w:hAnsi="Times New Roman"/>
        </w:rPr>
        <w:t>Aumentar la construcción de nuevos sistemas es una prioridad, así como mejorar y ampliar los existentes mediante su refuncionalización y brindar asistencia para garantizar la sostenibilidad de los sistemas de abastecimiento de agua potable y alcantarillado sanitario, beneficiando especialmente a la población en zonas rurales e indígenas.</w:t>
      </w:r>
    </w:p>
    <w:p w14:paraId="656B394C" w14:textId="77777777" w:rsidR="00927BB7" w:rsidRPr="00927BB7" w:rsidRDefault="00927BB7" w:rsidP="00927BB7">
      <w:pPr>
        <w:pStyle w:val="Prrafodelista"/>
        <w:numPr>
          <w:ilvl w:val="0"/>
          <w:numId w:val="11"/>
        </w:numPr>
        <w:spacing w:before="120" w:after="0" w:line="240" w:lineRule="auto"/>
        <w:jc w:val="both"/>
        <w:rPr>
          <w:rFonts w:ascii="Times New Roman" w:eastAsiaTheme="minorHAnsi" w:hAnsi="Times New Roman"/>
        </w:rPr>
      </w:pPr>
      <w:r w:rsidRPr="00927BB7">
        <w:rPr>
          <w:rFonts w:ascii="Times New Roman" w:eastAsiaTheme="minorHAnsi" w:hAnsi="Times New Roman"/>
        </w:rPr>
        <w:t>Dotar de infraestructuras adecuadas en toda la red de sistemas de gestión administrativa de todas las dependencias de Salud es otro de los desafíos que se ha impuesto el Ministerio de Salud Pública y Bienestar Social, con el fin de generar mayor agilidad en la prestación de servicios y asistencia técnica.</w:t>
      </w:r>
    </w:p>
    <w:p w14:paraId="5D820AF3" w14:textId="77777777" w:rsidR="00927BB7" w:rsidRPr="00927BB7" w:rsidRDefault="00927BB7" w:rsidP="00927BB7">
      <w:pPr>
        <w:pStyle w:val="Prrafodelista"/>
        <w:numPr>
          <w:ilvl w:val="0"/>
          <w:numId w:val="11"/>
        </w:numPr>
        <w:spacing w:before="120" w:after="0" w:line="240" w:lineRule="auto"/>
        <w:jc w:val="both"/>
        <w:rPr>
          <w:rFonts w:ascii="Times New Roman" w:eastAsiaTheme="minorHAnsi" w:hAnsi="Times New Roman"/>
        </w:rPr>
      </w:pPr>
      <w:r w:rsidRPr="00927BB7">
        <w:rPr>
          <w:rFonts w:ascii="Times New Roman" w:eastAsiaTheme="minorHAnsi" w:hAnsi="Times New Roman"/>
        </w:rPr>
        <w:t>Desarrollar políticas de seguridad de la información y reglamentación en la recolección de datos, así como fortalecer los sistemas de información en todo el MSPBS mediante la integración de los sistemas es otra de las propuestas a ser abordada por esta Institución rectora en Salud.</w:t>
      </w:r>
    </w:p>
    <w:p w14:paraId="60EAED28" w14:textId="77777777" w:rsidR="00927BB7" w:rsidRPr="00927BB7" w:rsidRDefault="00927BB7" w:rsidP="00927BB7">
      <w:pPr>
        <w:pStyle w:val="Prrafodelista"/>
        <w:numPr>
          <w:ilvl w:val="0"/>
          <w:numId w:val="11"/>
        </w:numPr>
        <w:spacing w:before="120" w:after="0" w:line="240" w:lineRule="auto"/>
        <w:jc w:val="both"/>
        <w:rPr>
          <w:rFonts w:ascii="Times New Roman" w:eastAsiaTheme="minorHAnsi" w:hAnsi="Times New Roman"/>
        </w:rPr>
      </w:pPr>
      <w:r w:rsidRPr="00927BB7">
        <w:rPr>
          <w:rFonts w:ascii="Times New Roman" w:eastAsiaTheme="minorHAnsi" w:hAnsi="Times New Roman"/>
        </w:rPr>
        <w:t xml:space="preserve">En cuanto al ordenamiento administrativo, una de las prioridades es seguir implementando mejoras en las compras y la distribución de medicamentos, así como en el sistema de control de stock en los parques sanitarios y dispensación en las farmacias. Además, se buscar la optimización en el proceso de planificación de la compra de medicamentos e insumos. </w:t>
      </w:r>
    </w:p>
    <w:p w14:paraId="2F99126A" w14:textId="1181879A" w:rsidR="00927BB7" w:rsidRPr="00927BB7" w:rsidRDefault="00927BB7" w:rsidP="00927BB7">
      <w:pPr>
        <w:pStyle w:val="Prrafodelista"/>
        <w:numPr>
          <w:ilvl w:val="0"/>
          <w:numId w:val="11"/>
        </w:numPr>
        <w:spacing w:before="120" w:after="0" w:line="240" w:lineRule="auto"/>
        <w:jc w:val="both"/>
        <w:rPr>
          <w:rFonts w:ascii="Times New Roman" w:eastAsiaTheme="minorHAnsi" w:hAnsi="Times New Roman"/>
        </w:rPr>
      </w:pPr>
      <w:r w:rsidRPr="00927BB7">
        <w:rPr>
          <w:rFonts w:ascii="Times New Roman" w:eastAsiaTheme="minorHAnsi" w:hAnsi="Times New Roman"/>
        </w:rPr>
        <w:t>Finalmente, para los próximos años, se planea fortalecer la capacidad de control y monitoreo de las gestiones de los servicios y se habrá incrementado la cobertura de servicios de salud en las zonas rurales y urbanas marginales, asegurando que al menos el 85% de la población del país tenga acceso a servicios de salud integrales centradas en las personas y basado en la atención primaria</w:t>
      </w:r>
      <w:r>
        <w:rPr>
          <w:rFonts w:ascii="Times New Roman" w:eastAsiaTheme="minorHAnsi" w:hAnsi="Times New Roman"/>
        </w:rPr>
        <w:t>.</w:t>
      </w:r>
    </w:p>
    <w:p w14:paraId="702400B2" w14:textId="77777777" w:rsidR="00C811DC" w:rsidRPr="000A36F5" w:rsidRDefault="00C811DC" w:rsidP="00C811DC">
      <w:pPr>
        <w:pStyle w:val="Default"/>
        <w:jc w:val="center"/>
        <w:rPr>
          <w:rFonts w:ascii="Times New Roman" w:hAnsi="Times New Roman" w:cs="Times New Roman"/>
          <w:b/>
          <w:bCs/>
          <w:sz w:val="10"/>
          <w:szCs w:val="23"/>
          <w:highlight w:val="yellow"/>
        </w:rPr>
      </w:pPr>
    </w:p>
    <w:p w14:paraId="303BB2B6" w14:textId="77777777" w:rsidR="00C811DC" w:rsidRPr="000A36F5" w:rsidRDefault="00C811DC" w:rsidP="00C811DC">
      <w:pPr>
        <w:pStyle w:val="Default"/>
        <w:jc w:val="center"/>
        <w:rPr>
          <w:rFonts w:ascii="Times New Roman" w:hAnsi="Times New Roman" w:cs="Times New Roman"/>
          <w:b/>
          <w:bCs/>
          <w:sz w:val="10"/>
          <w:szCs w:val="23"/>
          <w:highlight w:val="yellow"/>
        </w:rPr>
      </w:pPr>
    </w:p>
    <w:p w14:paraId="7D43C84E" w14:textId="77777777" w:rsidR="00C811DC" w:rsidRPr="000A36F5" w:rsidRDefault="00C811DC" w:rsidP="00C811DC">
      <w:pPr>
        <w:pStyle w:val="Default"/>
        <w:jc w:val="center"/>
        <w:rPr>
          <w:rFonts w:ascii="Times New Roman" w:hAnsi="Times New Roman" w:cs="Times New Roman"/>
          <w:b/>
          <w:bCs/>
          <w:sz w:val="10"/>
          <w:szCs w:val="23"/>
          <w:highlight w:val="yellow"/>
        </w:rPr>
      </w:pPr>
    </w:p>
    <w:p w14:paraId="2CDBF64A" w14:textId="0D842ECE" w:rsidR="00F17183" w:rsidRDefault="00F17183" w:rsidP="00927BB7">
      <w:pPr>
        <w:spacing w:after="0" w:line="360" w:lineRule="auto"/>
        <w:ind w:left="1276" w:hanging="482"/>
        <w:jc w:val="both"/>
        <w:rPr>
          <w:color w:val="417A84" w:themeColor="accent5" w:themeShade="BF"/>
          <w:sz w:val="24"/>
        </w:rPr>
      </w:pPr>
      <w:bookmarkStart w:id="15" w:name="_Toc402247653"/>
      <w:bookmarkStart w:id="16" w:name="_Toc402247921"/>
      <w:bookmarkStart w:id="17" w:name="_Toc402260102"/>
      <w:bookmarkStart w:id="18" w:name="_Toc402345893"/>
      <w:bookmarkStart w:id="19" w:name="_Toc402346177"/>
      <w:bookmarkStart w:id="20" w:name="_Toc402346455"/>
      <w:bookmarkStart w:id="21" w:name="_Toc402350041"/>
      <w:bookmarkStart w:id="22" w:name="_Toc402353793"/>
      <w:bookmarkStart w:id="23" w:name="_Toc402354719"/>
      <w:bookmarkStart w:id="24" w:name="_Toc402355183"/>
      <w:bookmarkStart w:id="25" w:name="_Toc402355646"/>
      <w:bookmarkStart w:id="26" w:name="_Toc402356023"/>
      <w:bookmarkStart w:id="27" w:name="_Toc402356486"/>
      <w:bookmarkStart w:id="28" w:name="_Toc402356863"/>
      <w:bookmarkStart w:id="29" w:name="_Toc402357325"/>
      <w:bookmarkStart w:id="30" w:name="_Toc402357702"/>
      <w:bookmarkStart w:id="31" w:name="_Toc402247654"/>
      <w:bookmarkStart w:id="32" w:name="_Toc402247922"/>
      <w:bookmarkStart w:id="33" w:name="_Toc402260103"/>
      <w:bookmarkStart w:id="34" w:name="_Toc402345894"/>
      <w:bookmarkStart w:id="35" w:name="_Toc402346178"/>
      <w:bookmarkStart w:id="36" w:name="_Toc402346456"/>
      <w:bookmarkStart w:id="37" w:name="_Toc402350042"/>
      <w:bookmarkStart w:id="38" w:name="_Toc402353794"/>
      <w:bookmarkStart w:id="39" w:name="_Toc402354720"/>
      <w:bookmarkStart w:id="40" w:name="_Toc402355184"/>
      <w:bookmarkStart w:id="41" w:name="_Toc402355647"/>
      <w:bookmarkStart w:id="42" w:name="_Toc402356024"/>
      <w:bookmarkStart w:id="43" w:name="_Toc402356487"/>
      <w:bookmarkStart w:id="44" w:name="_Toc402356864"/>
      <w:bookmarkStart w:id="45" w:name="_Toc402357326"/>
      <w:bookmarkStart w:id="46" w:name="_Toc402357703"/>
      <w:bookmarkStart w:id="47" w:name="_Toc402247655"/>
      <w:bookmarkStart w:id="48" w:name="_Toc402247923"/>
      <w:bookmarkStart w:id="49" w:name="_Toc402260104"/>
      <w:bookmarkStart w:id="50" w:name="_Toc402345895"/>
      <w:bookmarkStart w:id="51" w:name="_Toc402346179"/>
      <w:bookmarkStart w:id="52" w:name="_Toc402346457"/>
      <w:bookmarkStart w:id="53" w:name="_Toc402350043"/>
      <w:bookmarkStart w:id="54" w:name="_Toc402353795"/>
      <w:bookmarkStart w:id="55" w:name="_Toc402354721"/>
      <w:bookmarkStart w:id="56" w:name="_Toc402355185"/>
      <w:bookmarkStart w:id="57" w:name="_Toc402355648"/>
      <w:bookmarkStart w:id="58" w:name="_Toc402356025"/>
      <w:bookmarkStart w:id="59" w:name="_Toc402356488"/>
      <w:bookmarkStart w:id="60" w:name="_Toc402356865"/>
      <w:bookmarkStart w:id="61" w:name="_Toc402357327"/>
      <w:bookmarkStart w:id="62" w:name="_Toc402357704"/>
      <w:bookmarkStart w:id="63" w:name="_Toc402350045"/>
      <w:bookmarkStart w:id="64" w:name="_Toc402353797"/>
      <w:bookmarkStart w:id="65" w:name="_Toc402354723"/>
      <w:bookmarkStart w:id="66" w:name="_Toc402355187"/>
      <w:bookmarkStart w:id="67" w:name="_Toc402355650"/>
      <w:bookmarkStart w:id="68" w:name="_Toc402356027"/>
      <w:bookmarkStart w:id="69" w:name="_Toc402356490"/>
      <w:bookmarkStart w:id="70" w:name="_Toc402356867"/>
      <w:bookmarkStart w:id="71" w:name="_Toc402357329"/>
      <w:bookmarkStart w:id="72" w:name="_Toc402357706"/>
      <w:bookmarkStart w:id="73" w:name="_Toc402350046"/>
      <w:bookmarkStart w:id="74" w:name="_Toc402353798"/>
      <w:bookmarkStart w:id="75" w:name="_Toc402354724"/>
      <w:bookmarkStart w:id="76" w:name="_Toc402355188"/>
      <w:bookmarkStart w:id="77" w:name="_Toc402355651"/>
      <w:bookmarkStart w:id="78" w:name="_Toc402356028"/>
      <w:bookmarkStart w:id="79" w:name="_Toc402356491"/>
      <w:bookmarkStart w:id="80" w:name="_Toc402356868"/>
      <w:bookmarkStart w:id="81" w:name="_Toc402357330"/>
      <w:bookmarkStart w:id="82" w:name="_Toc402357707"/>
      <w:bookmarkStart w:id="83" w:name="_Toc402350047"/>
      <w:bookmarkStart w:id="84" w:name="_Toc402353799"/>
      <w:bookmarkStart w:id="85" w:name="_Toc402354725"/>
      <w:bookmarkStart w:id="86" w:name="_Toc402355189"/>
      <w:bookmarkStart w:id="87" w:name="_Toc402355652"/>
      <w:bookmarkStart w:id="88" w:name="_Toc402356029"/>
      <w:bookmarkStart w:id="89" w:name="_Toc402356492"/>
      <w:bookmarkStart w:id="90" w:name="_Toc402356869"/>
      <w:bookmarkStart w:id="91" w:name="_Toc402357331"/>
      <w:bookmarkStart w:id="92" w:name="_Toc402357708"/>
      <w:bookmarkStart w:id="93" w:name="_Toc402350055"/>
      <w:bookmarkStart w:id="94" w:name="_Toc402353807"/>
      <w:bookmarkStart w:id="95" w:name="_Toc402354733"/>
      <w:bookmarkStart w:id="96" w:name="_Toc402355197"/>
      <w:bookmarkStart w:id="97" w:name="_Toc402355660"/>
      <w:bookmarkStart w:id="98" w:name="_Toc402356037"/>
      <w:bookmarkStart w:id="99" w:name="_Toc402356500"/>
      <w:bookmarkStart w:id="100" w:name="_Toc402356877"/>
      <w:bookmarkStart w:id="101" w:name="_Toc402357339"/>
      <w:bookmarkStart w:id="102" w:name="_Toc402357716"/>
      <w:bookmarkStart w:id="103" w:name="_Toc402350060"/>
      <w:bookmarkStart w:id="104" w:name="_Toc402353812"/>
      <w:bookmarkStart w:id="105" w:name="_Toc402354738"/>
      <w:bookmarkStart w:id="106" w:name="_Toc402355202"/>
      <w:bookmarkStart w:id="107" w:name="_Toc402355665"/>
      <w:bookmarkStart w:id="108" w:name="_Toc402356042"/>
      <w:bookmarkStart w:id="109" w:name="_Toc402356505"/>
      <w:bookmarkStart w:id="110" w:name="_Toc402356882"/>
      <w:bookmarkStart w:id="111" w:name="_Toc402357344"/>
      <w:bookmarkStart w:id="112" w:name="_Toc402357721"/>
      <w:bookmarkStart w:id="113" w:name="_Toc402350065"/>
      <w:bookmarkStart w:id="114" w:name="_Toc402353817"/>
      <w:bookmarkStart w:id="115" w:name="_Toc402354743"/>
      <w:bookmarkStart w:id="116" w:name="_Toc402355207"/>
      <w:bookmarkStart w:id="117" w:name="_Toc402355670"/>
      <w:bookmarkStart w:id="118" w:name="_Toc402356047"/>
      <w:bookmarkStart w:id="119" w:name="_Toc402356510"/>
      <w:bookmarkStart w:id="120" w:name="_Toc402356887"/>
      <w:bookmarkStart w:id="121" w:name="_Toc402357349"/>
      <w:bookmarkStart w:id="122" w:name="_Toc402357726"/>
      <w:bookmarkStart w:id="123" w:name="_Toc402350070"/>
      <w:bookmarkStart w:id="124" w:name="_Toc402353822"/>
      <w:bookmarkStart w:id="125" w:name="_Toc402354748"/>
      <w:bookmarkStart w:id="126" w:name="_Toc402355212"/>
      <w:bookmarkStart w:id="127" w:name="_Toc402355675"/>
      <w:bookmarkStart w:id="128" w:name="_Toc402356052"/>
      <w:bookmarkStart w:id="129" w:name="_Toc402356515"/>
      <w:bookmarkStart w:id="130" w:name="_Toc402356892"/>
      <w:bookmarkStart w:id="131" w:name="_Toc402357354"/>
      <w:bookmarkStart w:id="132" w:name="_Toc402357731"/>
      <w:bookmarkStart w:id="133" w:name="_Toc402350075"/>
      <w:bookmarkStart w:id="134" w:name="_Toc402353827"/>
      <w:bookmarkStart w:id="135" w:name="_Toc402354753"/>
      <w:bookmarkStart w:id="136" w:name="_Toc402355217"/>
      <w:bookmarkStart w:id="137" w:name="_Toc402355680"/>
      <w:bookmarkStart w:id="138" w:name="_Toc402356057"/>
      <w:bookmarkStart w:id="139" w:name="_Toc402356520"/>
      <w:bookmarkStart w:id="140" w:name="_Toc402356897"/>
      <w:bookmarkStart w:id="141" w:name="_Toc402357359"/>
      <w:bookmarkStart w:id="142" w:name="_Toc402357736"/>
      <w:bookmarkStart w:id="143" w:name="_Toc402350080"/>
      <w:bookmarkStart w:id="144" w:name="_Toc402353832"/>
      <w:bookmarkStart w:id="145" w:name="_Toc402354758"/>
      <w:bookmarkStart w:id="146" w:name="_Toc402355222"/>
      <w:bookmarkStart w:id="147" w:name="_Toc402355685"/>
      <w:bookmarkStart w:id="148" w:name="_Toc402356062"/>
      <w:bookmarkStart w:id="149" w:name="_Toc402356525"/>
      <w:bookmarkStart w:id="150" w:name="_Toc402356902"/>
      <w:bookmarkStart w:id="151" w:name="_Toc402357364"/>
      <w:bookmarkStart w:id="152" w:name="_Toc402357741"/>
      <w:bookmarkStart w:id="153" w:name="_Toc402350085"/>
      <w:bookmarkStart w:id="154" w:name="_Toc402353837"/>
      <w:bookmarkStart w:id="155" w:name="_Toc402354763"/>
      <w:bookmarkStart w:id="156" w:name="_Toc402355227"/>
      <w:bookmarkStart w:id="157" w:name="_Toc402355690"/>
      <w:bookmarkStart w:id="158" w:name="_Toc402356067"/>
      <w:bookmarkStart w:id="159" w:name="_Toc402356530"/>
      <w:bookmarkStart w:id="160" w:name="_Toc402356907"/>
      <w:bookmarkStart w:id="161" w:name="_Toc402357369"/>
      <w:bookmarkStart w:id="162" w:name="_Toc402357746"/>
      <w:bookmarkStart w:id="163" w:name="_Toc402350090"/>
      <w:bookmarkStart w:id="164" w:name="_Toc402353842"/>
      <w:bookmarkStart w:id="165" w:name="_Toc402354768"/>
      <w:bookmarkStart w:id="166" w:name="_Toc402355232"/>
      <w:bookmarkStart w:id="167" w:name="_Toc402355695"/>
      <w:bookmarkStart w:id="168" w:name="_Toc402356072"/>
      <w:bookmarkStart w:id="169" w:name="_Toc402356535"/>
      <w:bookmarkStart w:id="170" w:name="_Toc402356912"/>
      <w:bookmarkStart w:id="171" w:name="_Toc402357374"/>
      <w:bookmarkStart w:id="172" w:name="_Toc402357751"/>
      <w:bookmarkStart w:id="173" w:name="_Toc402350100"/>
      <w:bookmarkStart w:id="174" w:name="_Toc402353852"/>
      <w:bookmarkStart w:id="175" w:name="_Toc402354778"/>
      <w:bookmarkStart w:id="176" w:name="_Toc402355242"/>
      <w:bookmarkStart w:id="177" w:name="_Toc402355705"/>
      <w:bookmarkStart w:id="178" w:name="_Toc402356082"/>
      <w:bookmarkStart w:id="179" w:name="_Toc402356545"/>
      <w:bookmarkStart w:id="180" w:name="_Toc402356922"/>
      <w:bookmarkStart w:id="181" w:name="_Toc402357384"/>
      <w:bookmarkStart w:id="182" w:name="_Toc402357761"/>
      <w:bookmarkStart w:id="183" w:name="_Toc402247781"/>
      <w:bookmarkStart w:id="184" w:name="_Toc402248049"/>
      <w:bookmarkStart w:id="185" w:name="_Toc402260230"/>
      <w:bookmarkStart w:id="186" w:name="_Toc402346021"/>
      <w:bookmarkStart w:id="187" w:name="_Toc402346305"/>
      <w:bookmarkStart w:id="188" w:name="_Toc402346583"/>
      <w:bookmarkStart w:id="189" w:name="_Toc402350292"/>
      <w:bookmarkStart w:id="190" w:name="_Toc402354044"/>
      <w:bookmarkStart w:id="191" w:name="_Toc402354970"/>
      <w:bookmarkStart w:id="192" w:name="_Toc402355434"/>
      <w:bookmarkStart w:id="193" w:name="_Toc402355897"/>
      <w:bookmarkStart w:id="194" w:name="_Toc402356274"/>
      <w:bookmarkStart w:id="195" w:name="_Toc402356737"/>
      <w:bookmarkStart w:id="196" w:name="_Toc402357114"/>
      <w:bookmarkStart w:id="197" w:name="_Toc402357576"/>
      <w:bookmarkStart w:id="198" w:name="_Toc402357953"/>
      <w:bookmarkStart w:id="199" w:name="_Toc402247782"/>
      <w:bookmarkStart w:id="200" w:name="_Toc402248050"/>
      <w:bookmarkStart w:id="201" w:name="_Toc402260231"/>
      <w:bookmarkStart w:id="202" w:name="_Toc402346022"/>
      <w:bookmarkStart w:id="203" w:name="_Toc402346306"/>
      <w:bookmarkStart w:id="204" w:name="_Toc402346584"/>
      <w:bookmarkStart w:id="205" w:name="_Toc402350293"/>
      <w:bookmarkStart w:id="206" w:name="_Toc402354045"/>
      <w:bookmarkStart w:id="207" w:name="_Toc402354971"/>
      <w:bookmarkStart w:id="208" w:name="_Toc402355435"/>
      <w:bookmarkStart w:id="209" w:name="_Toc402355898"/>
      <w:bookmarkStart w:id="210" w:name="_Toc402356275"/>
      <w:bookmarkStart w:id="211" w:name="_Toc402356738"/>
      <w:bookmarkStart w:id="212" w:name="_Toc402357115"/>
      <w:bookmarkStart w:id="213" w:name="_Toc402357577"/>
      <w:bookmarkStart w:id="214" w:name="_Toc402357954"/>
      <w:bookmarkStart w:id="215" w:name="_Toc402247783"/>
      <w:bookmarkStart w:id="216" w:name="_Toc402248051"/>
      <w:bookmarkStart w:id="217" w:name="_Toc402260232"/>
      <w:bookmarkStart w:id="218" w:name="_Toc402346023"/>
      <w:bookmarkStart w:id="219" w:name="_Toc402346307"/>
      <w:bookmarkStart w:id="220" w:name="_Toc402346585"/>
      <w:bookmarkStart w:id="221" w:name="_Toc402350294"/>
      <w:bookmarkStart w:id="222" w:name="_Toc402354046"/>
      <w:bookmarkStart w:id="223" w:name="_Toc402354972"/>
      <w:bookmarkStart w:id="224" w:name="_Toc402355436"/>
      <w:bookmarkStart w:id="225" w:name="_Toc402355899"/>
      <w:bookmarkStart w:id="226" w:name="_Toc402356276"/>
      <w:bookmarkStart w:id="227" w:name="_Toc402356739"/>
      <w:bookmarkStart w:id="228" w:name="_Toc402357116"/>
      <w:bookmarkStart w:id="229" w:name="_Toc402357578"/>
      <w:bookmarkStart w:id="230" w:name="_Toc402357955"/>
      <w:bookmarkStart w:id="231" w:name="_Toc402247784"/>
      <w:bookmarkStart w:id="232" w:name="_Toc402248052"/>
      <w:bookmarkStart w:id="233" w:name="_Toc402260233"/>
      <w:bookmarkStart w:id="234" w:name="_Toc402346024"/>
      <w:bookmarkStart w:id="235" w:name="_Toc402346308"/>
      <w:bookmarkStart w:id="236" w:name="_Toc402346586"/>
      <w:bookmarkStart w:id="237" w:name="_Toc402350295"/>
      <w:bookmarkStart w:id="238" w:name="_Toc402354047"/>
      <w:bookmarkStart w:id="239" w:name="_Toc402354973"/>
      <w:bookmarkStart w:id="240" w:name="_Toc402355437"/>
      <w:bookmarkStart w:id="241" w:name="_Toc402355900"/>
      <w:bookmarkStart w:id="242" w:name="_Toc402356277"/>
      <w:bookmarkStart w:id="243" w:name="_Toc402356740"/>
      <w:bookmarkStart w:id="244" w:name="_Toc402357117"/>
      <w:bookmarkStart w:id="245" w:name="_Toc402357579"/>
      <w:bookmarkStart w:id="246" w:name="_Toc402357956"/>
      <w:bookmarkStart w:id="247" w:name="_Toc402247785"/>
      <w:bookmarkStart w:id="248" w:name="_Toc402248053"/>
      <w:bookmarkStart w:id="249" w:name="_Toc402260234"/>
      <w:bookmarkStart w:id="250" w:name="_Toc402346025"/>
      <w:bookmarkStart w:id="251" w:name="_Toc402346309"/>
      <w:bookmarkStart w:id="252" w:name="_Toc402346587"/>
      <w:bookmarkStart w:id="253" w:name="_Toc402350296"/>
      <w:bookmarkStart w:id="254" w:name="_Toc402354048"/>
      <w:bookmarkStart w:id="255" w:name="_Toc402354974"/>
      <w:bookmarkStart w:id="256" w:name="_Toc402355438"/>
      <w:bookmarkStart w:id="257" w:name="_Toc402355901"/>
      <w:bookmarkStart w:id="258" w:name="_Toc402356278"/>
      <w:bookmarkStart w:id="259" w:name="_Toc402356741"/>
      <w:bookmarkStart w:id="260" w:name="_Toc402357118"/>
      <w:bookmarkStart w:id="261" w:name="_Toc402357580"/>
      <w:bookmarkStart w:id="262" w:name="_Toc402357957"/>
      <w:bookmarkStart w:id="263" w:name="_Toc402247786"/>
      <w:bookmarkStart w:id="264" w:name="_Toc402248054"/>
      <w:bookmarkStart w:id="265" w:name="_Toc402260235"/>
      <w:bookmarkStart w:id="266" w:name="_Toc402346026"/>
      <w:bookmarkStart w:id="267" w:name="_Toc402346310"/>
      <w:bookmarkStart w:id="268" w:name="_Toc402346588"/>
      <w:bookmarkStart w:id="269" w:name="_Toc402350297"/>
      <w:bookmarkStart w:id="270" w:name="_Toc402354049"/>
      <w:bookmarkStart w:id="271" w:name="_Toc402354975"/>
      <w:bookmarkStart w:id="272" w:name="_Toc402355439"/>
      <w:bookmarkStart w:id="273" w:name="_Toc402355902"/>
      <w:bookmarkStart w:id="274" w:name="_Toc402356279"/>
      <w:bookmarkStart w:id="275" w:name="_Toc402356742"/>
      <w:bookmarkStart w:id="276" w:name="_Toc402357119"/>
      <w:bookmarkStart w:id="277" w:name="_Toc402357581"/>
      <w:bookmarkStart w:id="278" w:name="_Toc402357958"/>
      <w:bookmarkStart w:id="279" w:name="_Toc402247787"/>
      <w:bookmarkStart w:id="280" w:name="_Toc402248055"/>
      <w:bookmarkStart w:id="281" w:name="_Toc402260236"/>
      <w:bookmarkStart w:id="282" w:name="_Toc402346027"/>
      <w:bookmarkStart w:id="283" w:name="_Toc402346311"/>
      <w:bookmarkStart w:id="284" w:name="_Toc402346589"/>
      <w:bookmarkStart w:id="285" w:name="_Toc402350298"/>
      <w:bookmarkStart w:id="286" w:name="_Toc402354050"/>
      <w:bookmarkStart w:id="287" w:name="_Toc402354976"/>
      <w:bookmarkStart w:id="288" w:name="_Toc402355440"/>
      <w:bookmarkStart w:id="289" w:name="_Toc402355903"/>
      <w:bookmarkStart w:id="290" w:name="_Toc402356280"/>
      <w:bookmarkStart w:id="291" w:name="_Toc402356743"/>
      <w:bookmarkStart w:id="292" w:name="_Toc402357120"/>
      <w:bookmarkStart w:id="293" w:name="_Toc402357582"/>
      <w:bookmarkStart w:id="294" w:name="_Toc402357959"/>
      <w:bookmarkStart w:id="295" w:name="_Toc402247790"/>
      <w:bookmarkStart w:id="296" w:name="_Toc402248058"/>
      <w:bookmarkStart w:id="297" w:name="_Toc402260239"/>
      <w:bookmarkStart w:id="298" w:name="_Toc402346030"/>
      <w:bookmarkStart w:id="299" w:name="_Toc402346314"/>
      <w:bookmarkStart w:id="300" w:name="_Toc402346592"/>
      <w:bookmarkStart w:id="301" w:name="_Toc402350301"/>
      <w:bookmarkStart w:id="302" w:name="_Toc402354053"/>
      <w:bookmarkStart w:id="303" w:name="_Toc402354979"/>
      <w:bookmarkStart w:id="304" w:name="_Toc402355443"/>
      <w:bookmarkStart w:id="305" w:name="_Toc402355906"/>
      <w:bookmarkStart w:id="306" w:name="_Toc402356283"/>
      <w:bookmarkStart w:id="307" w:name="_Toc402356746"/>
      <w:bookmarkStart w:id="308" w:name="_Toc402357123"/>
      <w:bookmarkStart w:id="309" w:name="_Toc402357585"/>
      <w:bookmarkStart w:id="310" w:name="_Toc402357962"/>
      <w:bookmarkStart w:id="311" w:name="_Toc402247792"/>
      <w:bookmarkStart w:id="312" w:name="_Toc402248060"/>
      <w:bookmarkStart w:id="313" w:name="_Toc402260241"/>
      <w:bookmarkStart w:id="314" w:name="_Toc402346032"/>
      <w:bookmarkStart w:id="315" w:name="_Toc402346316"/>
      <w:bookmarkStart w:id="316" w:name="_Toc402346594"/>
      <w:bookmarkStart w:id="317" w:name="_Toc402350303"/>
      <w:bookmarkStart w:id="318" w:name="_Toc402354055"/>
      <w:bookmarkStart w:id="319" w:name="_Toc402354981"/>
      <w:bookmarkStart w:id="320" w:name="_Toc402355445"/>
      <w:bookmarkStart w:id="321" w:name="_Toc402355908"/>
      <w:bookmarkStart w:id="322" w:name="_Toc402356285"/>
      <w:bookmarkStart w:id="323" w:name="_Toc402356748"/>
      <w:bookmarkStart w:id="324" w:name="_Toc402357125"/>
      <w:bookmarkStart w:id="325" w:name="_Toc402357587"/>
      <w:bookmarkStart w:id="326" w:name="_Toc402357964"/>
      <w:bookmarkStart w:id="327" w:name="_Toc402247794"/>
      <w:bookmarkStart w:id="328" w:name="_Toc402248062"/>
      <w:bookmarkStart w:id="329" w:name="_Toc402260243"/>
      <w:bookmarkStart w:id="330" w:name="_Toc402346034"/>
      <w:bookmarkStart w:id="331" w:name="_Toc402346318"/>
      <w:bookmarkStart w:id="332" w:name="_Toc402346596"/>
      <w:bookmarkStart w:id="333" w:name="_Toc402350305"/>
      <w:bookmarkStart w:id="334" w:name="_Toc402354057"/>
      <w:bookmarkStart w:id="335" w:name="_Toc402354983"/>
      <w:bookmarkStart w:id="336" w:name="_Toc402355447"/>
      <w:bookmarkStart w:id="337" w:name="_Toc402355910"/>
      <w:bookmarkStart w:id="338" w:name="_Toc402356287"/>
      <w:bookmarkStart w:id="339" w:name="_Toc402356750"/>
      <w:bookmarkStart w:id="340" w:name="_Toc402357127"/>
      <w:bookmarkStart w:id="341" w:name="_Toc402357589"/>
      <w:bookmarkStart w:id="342" w:name="_Toc402357966"/>
      <w:bookmarkStart w:id="343" w:name="_Toc402247795"/>
      <w:bookmarkStart w:id="344" w:name="_Toc402248063"/>
      <w:bookmarkStart w:id="345" w:name="_Toc402260244"/>
      <w:bookmarkStart w:id="346" w:name="_Toc402346035"/>
      <w:bookmarkStart w:id="347" w:name="_Toc402346319"/>
      <w:bookmarkStart w:id="348" w:name="_Toc402346597"/>
      <w:bookmarkStart w:id="349" w:name="_Toc402350306"/>
      <w:bookmarkStart w:id="350" w:name="_Toc402354058"/>
      <w:bookmarkStart w:id="351" w:name="_Toc402354984"/>
      <w:bookmarkStart w:id="352" w:name="_Toc402355448"/>
      <w:bookmarkStart w:id="353" w:name="_Toc402355911"/>
      <w:bookmarkStart w:id="354" w:name="_Toc402356288"/>
      <w:bookmarkStart w:id="355" w:name="_Toc402356751"/>
      <w:bookmarkStart w:id="356" w:name="_Toc402357128"/>
      <w:bookmarkStart w:id="357" w:name="_Toc402357590"/>
      <w:bookmarkStart w:id="358" w:name="_Toc402357967"/>
      <w:bookmarkStart w:id="359" w:name="_Toc24386775"/>
      <w:bookmarkStart w:id="360" w:name="_Toc402357591"/>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14:paraId="5A730232" w14:textId="324B2474" w:rsidR="00586276" w:rsidRDefault="00586276" w:rsidP="00794B78">
      <w:pPr>
        <w:pStyle w:val="Ttulo2"/>
        <w:spacing w:before="120"/>
        <w:jc w:val="both"/>
        <w:rPr>
          <w:color w:val="00529C"/>
          <w:sz w:val="24"/>
          <w:szCs w:val="24"/>
        </w:rPr>
      </w:pPr>
      <w:bookmarkStart w:id="361" w:name="_Toc402357453"/>
      <w:bookmarkStart w:id="362" w:name="_Toc24386776"/>
      <w:bookmarkStart w:id="363" w:name="_Toc389743897"/>
      <w:bookmarkStart w:id="364" w:name="_Toc220402582"/>
      <w:bookmarkEnd w:id="359"/>
      <w:r>
        <w:rPr>
          <w:color w:val="00529C"/>
          <w:sz w:val="24"/>
          <w:szCs w:val="24"/>
          <w:lang w:val="es-PY"/>
        </w:rPr>
        <w:t xml:space="preserve">II </w:t>
      </w:r>
      <w:r w:rsidRPr="00FC1002">
        <w:rPr>
          <w:color w:val="00529C"/>
          <w:sz w:val="24"/>
          <w:szCs w:val="24"/>
          <w:lang w:val="es-PY"/>
        </w:rPr>
        <w:t>RESULTADOS DE LA GESTIÓN INSTITUCIONAL</w:t>
      </w:r>
      <w:bookmarkEnd w:id="364"/>
      <w:r w:rsidRPr="00FC1002">
        <w:rPr>
          <w:color w:val="00529C"/>
          <w:sz w:val="24"/>
          <w:szCs w:val="24"/>
        </w:rPr>
        <w:t xml:space="preserve"> </w:t>
      </w:r>
    </w:p>
    <w:p w14:paraId="66A7B0EC" w14:textId="3FB694B0" w:rsidR="00794B78" w:rsidRPr="00FC1002" w:rsidRDefault="00CC72C2" w:rsidP="00794B78">
      <w:pPr>
        <w:pStyle w:val="Ttulo2"/>
        <w:spacing w:before="120"/>
        <w:jc w:val="both"/>
        <w:rPr>
          <w:color w:val="00529C"/>
          <w:sz w:val="24"/>
          <w:szCs w:val="24"/>
        </w:rPr>
      </w:pPr>
      <w:bookmarkStart w:id="365" w:name="_Toc220402583"/>
      <w:r w:rsidRPr="00FC1002">
        <w:rPr>
          <w:color w:val="00529C"/>
          <w:sz w:val="24"/>
          <w:szCs w:val="24"/>
        </w:rPr>
        <w:t>II</w:t>
      </w:r>
      <w:r w:rsidR="00794B78" w:rsidRPr="00FC1002">
        <w:rPr>
          <w:color w:val="00529C"/>
          <w:sz w:val="24"/>
          <w:szCs w:val="24"/>
        </w:rPr>
        <w:t>.1</w:t>
      </w:r>
      <w:r w:rsidR="00794B78" w:rsidRPr="00FC1002">
        <w:rPr>
          <w:color w:val="00529C"/>
          <w:sz w:val="24"/>
          <w:szCs w:val="24"/>
        </w:rPr>
        <w:tab/>
        <w:t>Logros alcanzados por la Entidad</w:t>
      </w:r>
      <w:bookmarkEnd w:id="361"/>
      <w:bookmarkEnd w:id="362"/>
      <w:bookmarkEnd w:id="365"/>
    </w:p>
    <w:p w14:paraId="384DCA4D" w14:textId="77777777" w:rsidR="00374E4B" w:rsidRPr="00374E4B" w:rsidRDefault="00374E4B" w:rsidP="00374E4B">
      <w:pPr>
        <w:spacing w:before="120" w:after="0" w:line="240" w:lineRule="auto"/>
        <w:jc w:val="both"/>
        <w:rPr>
          <w:b/>
          <w:bCs/>
          <w:szCs w:val="20"/>
          <w:lang w:eastAsia="es-ES"/>
        </w:rPr>
      </w:pPr>
      <w:bookmarkStart w:id="366" w:name="_Toc402247659"/>
      <w:bookmarkStart w:id="367" w:name="_Toc402247927"/>
      <w:bookmarkStart w:id="368" w:name="_Toc402260108"/>
      <w:bookmarkStart w:id="369" w:name="_Toc402345899"/>
      <w:bookmarkStart w:id="370" w:name="_Toc402346183"/>
      <w:bookmarkStart w:id="371" w:name="_Toc402346461"/>
      <w:bookmarkStart w:id="372" w:name="_Toc402350170"/>
      <w:bookmarkStart w:id="373" w:name="_Toc402353922"/>
      <w:bookmarkStart w:id="374" w:name="_Toc402354848"/>
      <w:bookmarkStart w:id="375" w:name="_Toc402355312"/>
      <w:bookmarkStart w:id="376" w:name="_Toc402355775"/>
      <w:bookmarkStart w:id="377" w:name="_Toc402356152"/>
      <w:bookmarkStart w:id="378" w:name="_Toc402356615"/>
      <w:bookmarkStart w:id="379" w:name="_Toc402356992"/>
      <w:bookmarkStart w:id="380" w:name="_Toc402357454"/>
      <w:bookmarkStart w:id="381" w:name="_Toc402357831"/>
      <w:bookmarkStart w:id="382" w:name="_Toc402247660"/>
      <w:bookmarkStart w:id="383" w:name="_Toc402247928"/>
      <w:bookmarkStart w:id="384" w:name="_Toc402260109"/>
      <w:bookmarkStart w:id="385" w:name="_Toc402345900"/>
      <w:bookmarkStart w:id="386" w:name="_Toc402346184"/>
      <w:bookmarkStart w:id="387" w:name="_Toc402346462"/>
      <w:bookmarkStart w:id="388" w:name="_Toc402350171"/>
      <w:bookmarkStart w:id="389" w:name="_Toc402353923"/>
      <w:bookmarkStart w:id="390" w:name="_Toc402354849"/>
      <w:bookmarkStart w:id="391" w:name="_Toc402355313"/>
      <w:bookmarkStart w:id="392" w:name="_Toc402355776"/>
      <w:bookmarkStart w:id="393" w:name="_Toc402356153"/>
      <w:bookmarkStart w:id="394" w:name="_Toc402356616"/>
      <w:bookmarkStart w:id="395" w:name="_Toc402356993"/>
      <w:bookmarkStart w:id="396" w:name="_Toc402357455"/>
      <w:bookmarkStart w:id="397" w:name="_Toc402357832"/>
      <w:bookmarkStart w:id="398" w:name="_Toc402247661"/>
      <w:bookmarkStart w:id="399" w:name="_Toc402247929"/>
      <w:bookmarkStart w:id="400" w:name="_Toc402260110"/>
      <w:bookmarkStart w:id="401" w:name="_Toc402345901"/>
      <w:bookmarkStart w:id="402" w:name="_Toc402346185"/>
      <w:bookmarkStart w:id="403" w:name="_Toc402346463"/>
      <w:bookmarkStart w:id="404" w:name="_Toc402350172"/>
      <w:bookmarkStart w:id="405" w:name="_Toc402353924"/>
      <w:bookmarkStart w:id="406" w:name="_Toc402354850"/>
      <w:bookmarkStart w:id="407" w:name="_Toc402355314"/>
      <w:bookmarkStart w:id="408" w:name="_Toc402355777"/>
      <w:bookmarkStart w:id="409" w:name="_Toc402356154"/>
      <w:bookmarkStart w:id="410" w:name="_Toc402356617"/>
      <w:bookmarkStart w:id="411" w:name="_Toc402356994"/>
      <w:bookmarkStart w:id="412" w:name="_Toc402357456"/>
      <w:bookmarkStart w:id="413" w:name="_Toc402357833"/>
      <w:bookmarkStart w:id="414" w:name="_Toc402247665"/>
      <w:bookmarkStart w:id="415" w:name="_Toc402247933"/>
      <w:bookmarkStart w:id="416" w:name="_Toc402260114"/>
      <w:bookmarkStart w:id="417" w:name="_Toc402345905"/>
      <w:bookmarkStart w:id="418" w:name="_Toc402346189"/>
      <w:bookmarkStart w:id="419" w:name="_Toc402346467"/>
      <w:bookmarkStart w:id="420" w:name="_Toc402350176"/>
      <w:bookmarkStart w:id="421" w:name="_Toc402353928"/>
      <w:bookmarkStart w:id="422" w:name="_Toc402354854"/>
      <w:bookmarkStart w:id="423" w:name="_Toc402355318"/>
      <w:bookmarkStart w:id="424" w:name="_Toc402355781"/>
      <w:bookmarkStart w:id="425" w:name="_Toc402356158"/>
      <w:bookmarkStart w:id="426" w:name="_Toc402356621"/>
      <w:bookmarkStart w:id="427" w:name="_Toc402356998"/>
      <w:bookmarkStart w:id="428" w:name="_Toc402357460"/>
      <w:bookmarkStart w:id="429" w:name="_Toc402357837"/>
      <w:bookmarkStart w:id="430" w:name="_Toc402247671"/>
      <w:bookmarkStart w:id="431" w:name="_Toc402247939"/>
      <w:bookmarkStart w:id="432" w:name="_Toc402260120"/>
      <w:bookmarkStart w:id="433" w:name="_Toc402345911"/>
      <w:bookmarkStart w:id="434" w:name="_Toc402346195"/>
      <w:bookmarkStart w:id="435" w:name="_Toc402346473"/>
      <w:bookmarkStart w:id="436" w:name="_Toc402350182"/>
      <w:bookmarkStart w:id="437" w:name="_Toc402353934"/>
      <w:bookmarkStart w:id="438" w:name="_Toc402354860"/>
      <w:bookmarkStart w:id="439" w:name="_Toc402355324"/>
      <w:bookmarkStart w:id="440" w:name="_Toc402355787"/>
      <w:bookmarkStart w:id="441" w:name="_Toc402356164"/>
      <w:bookmarkStart w:id="442" w:name="_Toc402356627"/>
      <w:bookmarkStart w:id="443" w:name="_Toc402357004"/>
      <w:bookmarkStart w:id="444" w:name="_Toc402357466"/>
      <w:bookmarkStart w:id="445" w:name="_Toc402357843"/>
      <w:bookmarkStart w:id="446" w:name="_Toc402247743"/>
      <w:bookmarkStart w:id="447" w:name="_Toc402248011"/>
      <w:bookmarkStart w:id="448" w:name="_Toc402260192"/>
      <w:bookmarkStart w:id="449" w:name="_Toc402345983"/>
      <w:bookmarkStart w:id="450" w:name="_Toc402346267"/>
      <w:bookmarkStart w:id="451" w:name="_Toc402346545"/>
      <w:bookmarkStart w:id="452" w:name="_Toc402350254"/>
      <w:bookmarkStart w:id="453" w:name="_Toc402354006"/>
      <w:bookmarkStart w:id="454" w:name="_Toc402354932"/>
      <w:bookmarkStart w:id="455" w:name="_Toc402355396"/>
      <w:bookmarkStart w:id="456" w:name="_Toc402355859"/>
      <w:bookmarkStart w:id="457" w:name="_Toc402356236"/>
      <w:bookmarkStart w:id="458" w:name="_Toc402356699"/>
      <w:bookmarkStart w:id="459" w:name="_Toc402357076"/>
      <w:bookmarkStart w:id="460" w:name="_Toc402357538"/>
      <w:bookmarkStart w:id="461" w:name="_Toc402357915"/>
      <w:bookmarkStart w:id="462" w:name="_Toc402247744"/>
      <w:bookmarkStart w:id="463" w:name="_Toc402248012"/>
      <w:bookmarkStart w:id="464" w:name="_Toc402260193"/>
      <w:bookmarkStart w:id="465" w:name="_Toc402345984"/>
      <w:bookmarkStart w:id="466" w:name="_Toc402346268"/>
      <w:bookmarkStart w:id="467" w:name="_Toc402346546"/>
      <w:bookmarkStart w:id="468" w:name="_Toc402350255"/>
      <w:bookmarkStart w:id="469" w:name="_Toc402354007"/>
      <w:bookmarkStart w:id="470" w:name="_Toc402354933"/>
      <w:bookmarkStart w:id="471" w:name="_Toc402355397"/>
      <w:bookmarkStart w:id="472" w:name="_Toc402355860"/>
      <w:bookmarkStart w:id="473" w:name="_Toc402356237"/>
      <w:bookmarkStart w:id="474" w:name="_Toc402356700"/>
      <w:bookmarkStart w:id="475" w:name="_Toc402357077"/>
      <w:bookmarkStart w:id="476" w:name="_Toc402357539"/>
      <w:bookmarkStart w:id="477" w:name="_Toc402357916"/>
      <w:bookmarkStart w:id="478" w:name="_Toc402247745"/>
      <w:bookmarkStart w:id="479" w:name="_Toc402248013"/>
      <w:bookmarkStart w:id="480" w:name="_Toc402260194"/>
      <w:bookmarkStart w:id="481" w:name="_Toc402345985"/>
      <w:bookmarkStart w:id="482" w:name="_Toc402346269"/>
      <w:bookmarkStart w:id="483" w:name="_Toc402346547"/>
      <w:bookmarkStart w:id="484" w:name="_Toc402350256"/>
      <w:bookmarkStart w:id="485" w:name="_Toc402354008"/>
      <w:bookmarkStart w:id="486" w:name="_Toc402354934"/>
      <w:bookmarkStart w:id="487" w:name="_Toc402355398"/>
      <w:bookmarkStart w:id="488" w:name="_Toc402355861"/>
      <w:bookmarkStart w:id="489" w:name="_Toc402356238"/>
      <w:bookmarkStart w:id="490" w:name="_Toc402356701"/>
      <w:bookmarkStart w:id="491" w:name="_Toc402357078"/>
      <w:bookmarkStart w:id="492" w:name="_Toc402357540"/>
      <w:bookmarkStart w:id="493" w:name="_Toc402357917"/>
      <w:bookmarkStart w:id="494" w:name="_Toc402247746"/>
      <w:bookmarkStart w:id="495" w:name="_Toc402248014"/>
      <w:bookmarkStart w:id="496" w:name="_Toc402260195"/>
      <w:bookmarkStart w:id="497" w:name="_Toc402345986"/>
      <w:bookmarkStart w:id="498" w:name="_Toc402346270"/>
      <w:bookmarkStart w:id="499" w:name="_Toc402346548"/>
      <w:bookmarkStart w:id="500" w:name="_Toc402350257"/>
      <w:bookmarkStart w:id="501" w:name="_Toc402354009"/>
      <w:bookmarkStart w:id="502" w:name="_Toc402354935"/>
      <w:bookmarkStart w:id="503" w:name="_Toc402355399"/>
      <w:bookmarkStart w:id="504" w:name="_Toc402355862"/>
      <w:bookmarkStart w:id="505" w:name="_Toc402356239"/>
      <w:bookmarkStart w:id="506" w:name="_Toc402356702"/>
      <w:bookmarkStart w:id="507" w:name="_Toc402357079"/>
      <w:bookmarkStart w:id="508" w:name="_Toc402357541"/>
      <w:bookmarkStart w:id="509" w:name="_Toc402357918"/>
      <w:bookmarkStart w:id="510" w:name="_Toc402247747"/>
      <w:bookmarkStart w:id="511" w:name="_Toc402248015"/>
      <w:bookmarkStart w:id="512" w:name="_Toc402260196"/>
      <w:bookmarkStart w:id="513" w:name="_Toc402345987"/>
      <w:bookmarkStart w:id="514" w:name="_Toc402346271"/>
      <w:bookmarkStart w:id="515" w:name="_Toc402346549"/>
      <w:bookmarkStart w:id="516" w:name="_Toc402350258"/>
      <w:bookmarkStart w:id="517" w:name="_Toc402354010"/>
      <w:bookmarkStart w:id="518" w:name="_Toc402354936"/>
      <w:bookmarkStart w:id="519" w:name="_Toc402355400"/>
      <w:bookmarkStart w:id="520" w:name="_Toc402355863"/>
      <w:bookmarkStart w:id="521" w:name="_Toc402356240"/>
      <w:bookmarkStart w:id="522" w:name="_Toc402356703"/>
      <w:bookmarkStart w:id="523" w:name="_Toc402357080"/>
      <w:bookmarkStart w:id="524" w:name="_Toc402357542"/>
      <w:bookmarkStart w:id="525" w:name="_Toc402357919"/>
      <w:bookmarkStart w:id="526" w:name="_Toc402247751"/>
      <w:bookmarkStart w:id="527" w:name="_Toc402248019"/>
      <w:bookmarkStart w:id="528" w:name="_Toc402260200"/>
      <w:bookmarkStart w:id="529" w:name="_Toc402345991"/>
      <w:bookmarkStart w:id="530" w:name="_Toc402346275"/>
      <w:bookmarkStart w:id="531" w:name="_Toc402346553"/>
      <w:bookmarkStart w:id="532" w:name="_Toc402350262"/>
      <w:bookmarkStart w:id="533" w:name="_Toc402354014"/>
      <w:bookmarkStart w:id="534" w:name="_Toc402354940"/>
      <w:bookmarkStart w:id="535" w:name="_Toc402355404"/>
      <w:bookmarkStart w:id="536" w:name="_Toc402355867"/>
      <w:bookmarkStart w:id="537" w:name="_Toc402356244"/>
      <w:bookmarkStart w:id="538" w:name="_Toc402356707"/>
      <w:bookmarkStart w:id="539" w:name="_Toc402357084"/>
      <w:bookmarkStart w:id="540" w:name="_Toc402357546"/>
      <w:bookmarkStart w:id="541" w:name="_Toc402357923"/>
      <w:bookmarkStart w:id="542" w:name="_Toc402247754"/>
      <w:bookmarkStart w:id="543" w:name="_Toc402248022"/>
      <w:bookmarkStart w:id="544" w:name="_Toc402260203"/>
      <w:bookmarkStart w:id="545" w:name="_Toc402345994"/>
      <w:bookmarkStart w:id="546" w:name="_Toc402346278"/>
      <w:bookmarkStart w:id="547" w:name="_Toc402346556"/>
      <w:bookmarkStart w:id="548" w:name="_Toc402350265"/>
      <w:bookmarkStart w:id="549" w:name="_Toc402354017"/>
      <w:bookmarkStart w:id="550" w:name="_Toc402354943"/>
      <w:bookmarkStart w:id="551" w:name="_Toc402355407"/>
      <w:bookmarkStart w:id="552" w:name="_Toc402355870"/>
      <w:bookmarkStart w:id="553" w:name="_Toc402356247"/>
      <w:bookmarkStart w:id="554" w:name="_Toc402356710"/>
      <w:bookmarkStart w:id="555" w:name="_Toc402357087"/>
      <w:bookmarkStart w:id="556" w:name="_Toc402357549"/>
      <w:bookmarkStart w:id="557" w:name="_Toc402357926"/>
      <w:bookmarkStart w:id="558" w:name="_Toc402247757"/>
      <w:bookmarkStart w:id="559" w:name="_Toc402248025"/>
      <w:bookmarkStart w:id="560" w:name="_Toc402260206"/>
      <w:bookmarkStart w:id="561" w:name="_Toc402345997"/>
      <w:bookmarkStart w:id="562" w:name="_Toc402346281"/>
      <w:bookmarkStart w:id="563" w:name="_Toc402346559"/>
      <w:bookmarkStart w:id="564" w:name="_Toc402350268"/>
      <w:bookmarkStart w:id="565" w:name="_Toc402354020"/>
      <w:bookmarkStart w:id="566" w:name="_Toc402354946"/>
      <w:bookmarkStart w:id="567" w:name="_Toc402355410"/>
      <w:bookmarkStart w:id="568" w:name="_Toc402355873"/>
      <w:bookmarkStart w:id="569" w:name="_Toc402356250"/>
      <w:bookmarkStart w:id="570" w:name="_Toc402356713"/>
      <w:bookmarkStart w:id="571" w:name="_Toc402357090"/>
      <w:bookmarkStart w:id="572" w:name="_Toc402357552"/>
      <w:bookmarkStart w:id="573" w:name="_Toc402357929"/>
      <w:bookmarkStart w:id="574" w:name="_Toc402247758"/>
      <w:bookmarkStart w:id="575" w:name="_Toc402248026"/>
      <w:bookmarkStart w:id="576" w:name="_Toc402260207"/>
      <w:bookmarkStart w:id="577" w:name="_Toc402345998"/>
      <w:bookmarkStart w:id="578" w:name="_Toc402346282"/>
      <w:bookmarkStart w:id="579" w:name="_Toc402346560"/>
      <w:bookmarkStart w:id="580" w:name="_Toc402350269"/>
      <w:bookmarkStart w:id="581" w:name="_Toc402354021"/>
      <w:bookmarkStart w:id="582" w:name="_Toc402354947"/>
      <w:bookmarkStart w:id="583" w:name="_Toc402355411"/>
      <w:bookmarkStart w:id="584" w:name="_Toc402355874"/>
      <w:bookmarkStart w:id="585" w:name="_Toc402356251"/>
      <w:bookmarkStart w:id="586" w:name="_Toc402356714"/>
      <w:bookmarkStart w:id="587" w:name="_Toc402357091"/>
      <w:bookmarkStart w:id="588" w:name="_Toc402357553"/>
      <w:bookmarkStart w:id="589" w:name="_Toc402357930"/>
      <w:bookmarkStart w:id="590" w:name="_Toc402247759"/>
      <w:bookmarkStart w:id="591" w:name="_Toc402248027"/>
      <w:bookmarkStart w:id="592" w:name="_Toc402260208"/>
      <w:bookmarkStart w:id="593" w:name="_Toc402345999"/>
      <w:bookmarkStart w:id="594" w:name="_Toc402346283"/>
      <w:bookmarkStart w:id="595" w:name="_Toc402346561"/>
      <w:bookmarkStart w:id="596" w:name="_Toc402350270"/>
      <w:bookmarkStart w:id="597" w:name="_Toc402354022"/>
      <w:bookmarkStart w:id="598" w:name="_Toc402354948"/>
      <w:bookmarkStart w:id="599" w:name="_Toc402355412"/>
      <w:bookmarkStart w:id="600" w:name="_Toc402355875"/>
      <w:bookmarkStart w:id="601" w:name="_Toc402356252"/>
      <w:bookmarkStart w:id="602" w:name="_Toc402356715"/>
      <w:bookmarkStart w:id="603" w:name="_Toc402357092"/>
      <w:bookmarkStart w:id="604" w:name="_Toc402357554"/>
      <w:bookmarkStart w:id="605" w:name="_Toc402357931"/>
      <w:bookmarkStart w:id="606" w:name="_Toc402247766"/>
      <w:bookmarkStart w:id="607" w:name="_Toc402248034"/>
      <w:bookmarkStart w:id="608" w:name="_Toc402260215"/>
      <w:bookmarkStart w:id="609" w:name="_Toc402346006"/>
      <w:bookmarkStart w:id="610" w:name="_Toc402346290"/>
      <w:bookmarkStart w:id="611" w:name="_Toc402346568"/>
      <w:bookmarkStart w:id="612" w:name="_Toc402350277"/>
      <w:bookmarkStart w:id="613" w:name="_Toc402354029"/>
      <w:bookmarkStart w:id="614" w:name="_Toc402354955"/>
      <w:bookmarkStart w:id="615" w:name="_Toc402355419"/>
      <w:bookmarkStart w:id="616" w:name="_Toc402355882"/>
      <w:bookmarkStart w:id="617" w:name="_Toc402356259"/>
      <w:bookmarkStart w:id="618" w:name="_Toc402356722"/>
      <w:bookmarkStart w:id="619" w:name="_Toc402357099"/>
      <w:bookmarkStart w:id="620" w:name="_Toc402357561"/>
      <w:bookmarkStart w:id="621" w:name="_Toc402357938"/>
      <w:bookmarkStart w:id="622" w:name="_Toc402247769"/>
      <w:bookmarkStart w:id="623" w:name="_Toc402248037"/>
      <w:bookmarkStart w:id="624" w:name="_Toc402260218"/>
      <w:bookmarkStart w:id="625" w:name="_Toc402346009"/>
      <w:bookmarkStart w:id="626" w:name="_Toc402346293"/>
      <w:bookmarkStart w:id="627" w:name="_Toc402346571"/>
      <w:bookmarkStart w:id="628" w:name="_Toc402350280"/>
      <w:bookmarkStart w:id="629" w:name="_Toc402354032"/>
      <w:bookmarkStart w:id="630" w:name="_Toc402354958"/>
      <w:bookmarkStart w:id="631" w:name="_Toc402355422"/>
      <w:bookmarkStart w:id="632" w:name="_Toc402355885"/>
      <w:bookmarkStart w:id="633" w:name="_Toc402356262"/>
      <w:bookmarkStart w:id="634" w:name="_Toc402356725"/>
      <w:bookmarkStart w:id="635" w:name="_Toc402357102"/>
      <w:bookmarkStart w:id="636" w:name="_Toc402357564"/>
      <w:bookmarkStart w:id="637" w:name="_Toc402357941"/>
      <w:bookmarkStart w:id="638" w:name="_Toc402247770"/>
      <w:bookmarkStart w:id="639" w:name="_Toc402248038"/>
      <w:bookmarkStart w:id="640" w:name="_Toc402260219"/>
      <w:bookmarkStart w:id="641" w:name="_Toc402346010"/>
      <w:bookmarkStart w:id="642" w:name="_Toc402346294"/>
      <w:bookmarkStart w:id="643" w:name="_Toc402346572"/>
      <w:bookmarkStart w:id="644" w:name="_Toc402350281"/>
      <w:bookmarkStart w:id="645" w:name="_Toc402354033"/>
      <w:bookmarkStart w:id="646" w:name="_Toc402354959"/>
      <w:bookmarkStart w:id="647" w:name="_Toc402355423"/>
      <w:bookmarkStart w:id="648" w:name="_Toc402355886"/>
      <w:bookmarkStart w:id="649" w:name="_Toc402356263"/>
      <w:bookmarkStart w:id="650" w:name="_Toc402356726"/>
      <w:bookmarkStart w:id="651" w:name="_Toc402357103"/>
      <w:bookmarkStart w:id="652" w:name="_Toc402357565"/>
      <w:bookmarkStart w:id="653" w:name="_Toc402357942"/>
      <w:bookmarkStart w:id="654" w:name="_Toc402247774"/>
      <w:bookmarkStart w:id="655" w:name="_Toc402248042"/>
      <w:bookmarkStart w:id="656" w:name="_Toc402260223"/>
      <w:bookmarkStart w:id="657" w:name="_Toc402346014"/>
      <w:bookmarkStart w:id="658" w:name="_Toc402346298"/>
      <w:bookmarkStart w:id="659" w:name="_Toc402346576"/>
      <w:bookmarkStart w:id="660" w:name="_Toc402350285"/>
      <w:bookmarkStart w:id="661" w:name="_Toc402354037"/>
      <w:bookmarkStart w:id="662" w:name="_Toc402354963"/>
      <w:bookmarkStart w:id="663" w:name="_Toc402355427"/>
      <w:bookmarkStart w:id="664" w:name="_Toc402355890"/>
      <w:bookmarkStart w:id="665" w:name="_Toc402356267"/>
      <w:bookmarkStart w:id="666" w:name="_Toc402356730"/>
      <w:bookmarkStart w:id="667" w:name="_Toc402357107"/>
      <w:bookmarkStart w:id="668" w:name="_Toc402357569"/>
      <w:bookmarkStart w:id="669" w:name="_Toc402357946"/>
      <w:bookmarkStart w:id="670" w:name="_Toc402247777"/>
      <w:bookmarkStart w:id="671" w:name="_Toc402248045"/>
      <w:bookmarkStart w:id="672" w:name="_Toc402260226"/>
      <w:bookmarkStart w:id="673" w:name="_Toc402346017"/>
      <w:bookmarkStart w:id="674" w:name="_Toc402346301"/>
      <w:bookmarkStart w:id="675" w:name="_Toc402346579"/>
      <w:bookmarkStart w:id="676" w:name="_Toc402350288"/>
      <w:bookmarkStart w:id="677" w:name="_Toc402354040"/>
      <w:bookmarkStart w:id="678" w:name="_Toc402354966"/>
      <w:bookmarkStart w:id="679" w:name="_Toc402355430"/>
      <w:bookmarkStart w:id="680" w:name="_Toc402355893"/>
      <w:bookmarkStart w:id="681" w:name="_Toc402356270"/>
      <w:bookmarkStart w:id="682" w:name="_Toc402356733"/>
      <w:bookmarkStart w:id="683" w:name="_Toc402357110"/>
      <w:bookmarkStart w:id="684" w:name="_Toc402357572"/>
      <w:bookmarkStart w:id="685" w:name="_Toc402357949"/>
      <w:bookmarkEnd w:id="363"/>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r w:rsidRPr="00374E4B">
        <w:rPr>
          <w:b/>
          <w:bCs/>
          <w:szCs w:val="20"/>
          <w:lang w:eastAsia="es-ES"/>
        </w:rPr>
        <w:t>DIRECCIÓN GENERAL DE DESCENTRALIZACIÓN EN SALUD (DGDS)</w:t>
      </w:r>
    </w:p>
    <w:p w14:paraId="1B56B34F" w14:textId="77777777" w:rsidR="00374E4B" w:rsidRPr="00DB6DA2" w:rsidRDefault="00374E4B" w:rsidP="00374E4B">
      <w:pPr>
        <w:spacing w:before="120" w:after="0" w:line="240" w:lineRule="auto"/>
        <w:jc w:val="both"/>
        <w:rPr>
          <w:b/>
          <w:bCs/>
          <w:sz w:val="24"/>
          <w:szCs w:val="24"/>
        </w:rPr>
      </w:pPr>
      <w:r w:rsidRPr="00DB6DA2">
        <w:rPr>
          <w:rStyle w:val="Textoennegrita"/>
          <w:rFonts w:eastAsiaTheme="majorEastAsia"/>
          <w:color w:val="000000"/>
          <w:szCs w:val="20"/>
        </w:rPr>
        <w:t>IMPLEMENTACIÓN FOBARES Y FORTALECIMIENTO DEL SISTEMA DE SALUD</w:t>
      </w:r>
    </w:p>
    <w:p w14:paraId="68298E2D" w14:textId="77777777" w:rsidR="00374E4B" w:rsidRPr="00DB6DA2" w:rsidRDefault="00374E4B" w:rsidP="00374E4B">
      <w:pPr>
        <w:pStyle w:val="NormalWeb"/>
        <w:shd w:val="clear" w:color="auto" w:fill="FFFFFF"/>
        <w:spacing w:before="0" w:beforeAutospacing="0" w:after="0" w:afterAutospacing="0"/>
        <w:jc w:val="both"/>
        <w:rPr>
          <w:color w:val="000000"/>
          <w:sz w:val="20"/>
          <w:szCs w:val="20"/>
        </w:rPr>
      </w:pPr>
      <w:r w:rsidRPr="00DB6DA2">
        <w:rPr>
          <w:color w:val="000000"/>
          <w:sz w:val="20"/>
          <w:szCs w:val="20"/>
        </w:rPr>
        <w:t> </w:t>
      </w:r>
    </w:p>
    <w:p w14:paraId="1D404232" w14:textId="77777777" w:rsidR="00374E4B" w:rsidRPr="0097043E" w:rsidRDefault="00374E4B" w:rsidP="00374E4B">
      <w:pPr>
        <w:pStyle w:val="NormalWeb"/>
        <w:shd w:val="clear" w:color="auto" w:fill="FFFFFF"/>
        <w:spacing w:before="0" w:beforeAutospacing="0" w:after="0" w:afterAutospacing="0"/>
        <w:jc w:val="both"/>
        <w:rPr>
          <w:color w:val="000000"/>
          <w:sz w:val="20"/>
          <w:szCs w:val="20"/>
        </w:rPr>
      </w:pPr>
      <w:r w:rsidRPr="0097043E">
        <w:rPr>
          <w:color w:val="000000"/>
          <w:sz w:val="20"/>
          <w:szCs w:val="20"/>
        </w:rPr>
        <w:t>En el marco del </w:t>
      </w:r>
      <w:r w:rsidRPr="0097043E">
        <w:rPr>
          <w:rStyle w:val="Textoennegrita"/>
          <w:rFonts w:eastAsiaTheme="majorEastAsia"/>
          <w:color w:val="000000"/>
          <w:sz w:val="20"/>
          <w:szCs w:val="20"/>
        </w:rPr>
        <w:t>Plan de Gobierno 2023–2028</w:t>
      </w:r>
      <w:r w:rsidRPr="0097043E">
        <w:rPr>
          <w:color w:val="000000"/>
          <w:sz w:val="20"/>
          <w:szCs w:val="20"/>
        </w:rPr>
        <w:t>, a partir del año 2024 se implementó el </w:t>
      </w:r>
      <w:r w:rsidRPr="0097043E">
        <w:rPr>
          <w:rStyle w:val="Textoennegrita"/>
          <w:rFonts w:eastAsiaTheme="majorEastAsia"/>
          <w:color w:val="000000"/>
          <w:sz w:val="20"/>
          <w:szCs w:val="20"/>
        </w:rPr>
        <w:t>Fondo Basado en Resultados Sanitarios (FOBARES)</w:t>
      </w:r>
      <w:r w:rsidRPr="0097043E">
        <w:rPr>
          <w:color w:val="000000"/>
          <w:sz w:val="20"/>
          <w:szCs w:val="20"/>
        </w:rPr>
        <w:t>, conforme a la </w:t>
      </w:r>
      <w:r w:rsidRPr="0097043E">
        <w:rPr>
          <w:rStyle w:val="Textoennegrita"/>
          <w:rFonts w:eastAsiaTheme="majorEastAsia"/>
          <w:color w:val="000000"/>
          <w:sz w:val="20"/>
          <w:szCs w:val="20"/>
        </w:rPr>
        <w:t>Resolución SG N° 010/2024</w:t>
      </w:r>
      <w:r w:rsidRPr="0097043E">
        <w:rPr>
          <w:color w:val="000000"/>
          <w:sz w:val="20"/>
          <w:szCs w:val="20"/>
        </w:rPr>
        <w:t>, incorporando formatos actualizados de acuerdos de descentralización aprobados por la </w:t>
      </w:r>
      <w:r w:rsidRPr="0097043E">
        <w:rPr>
          <w:rStyle w:val="Textoennegrita"/>
          <w:rFonts w:eastAsiaTheme="majorEastAsia"/>
          <w:color w:val="000000"/>
          <w:sz w:val="20"/>
          <w:szCs w:val="20"/>
        </w:rPr>
        <w:t>Resolución SG N° 09/2024</w:t>
      </w:r>
      <w:r w:rsidRPr="0097043E">
        <w:rPr>
          <w:color w:val="000000"/>
          <w:sz w:val="20"/>
          <w:szCs w:val="20"/>
        </w:rPr>
        <w:t>. Esta política permitió la </w:t>
      </w:r>
      <w:r w:rsidRPr="0097043E">
        <w:rPr>
          <w:rStyle w:val="Textoennegrita"/>
          <w:rFonts w:eastAsiaTheme="majorEastAsia"/>
          <w:color w:val="000000"/>
          <w:sz w:val="20"/>
          <w:szCs w:val="20"/>
        </w:rPr>
        <w:t>adhesión de 260 Consejos de Salud</w:t>
      </w:r>
      <w:r w:rsidRPr="0097043E">
        <w:rPr>
          <w:color w:val="000000"/>
          <w:sz w:val="20"/>
          <w:szCs w:val="20"/>
        </w:rPr>
        <w:t>, todos beneficiados con </w:t>
      </w:r>
      <w:r w:rsidRPr="0097043E">
        <w:rPr>
          <w:rStyle w:val="Textoennegrita"/>
          <w:rFonts w:eastAsiaTheme="majorEastAsia"/>
          <w:color w:val="000000"/>
          <w:sz w:val="20"/>
          <w:szCs w:val="20"/>
        </w:rPr>
        <w:t>al menos una transferencia financiera</w:t>
      </w:r>
      <w:r w:rsidRPr="0097043E">
        <w:rPr>
          <w:color w:val="000000"/>
          <w:sz w:val="20"/>
          <w:szCs w:val="20"/>
        </w:rPr>
        <w:t>, fortaleciendo la gestión sanitaria descentralizada a nivel nacional. De manera complementaria, distritos no adheridos fueron apoyados mediante la articulación con </w:t>
      </w:r>
      <w:r w:rsidRPr="0097043E">
        <w:rPr>
          <w:rStyle w:val="Textoennegrita"/>
          <w:rFonts w:eastAsiaTheme="majorEastAsia"/>
          <w:color w:val="000000"/>
          <w:sz w:val="20"/>
          <w:szCs w:val="20"/>
        </w:rPr>
        <w:t>Consejos Regionales y Locales de zonas aledañas</w:t>
      </w:r>
      <w:r w:rsidRPr="0097043E">
        <w:rPr>
          <w:color w:val="000000"/>
          <w:sz w:val="20"/>
          <w:szCs w:val="20"/>
        </w:rPr>
        <w:t>, ampliando la cobertura territorial.</w:t>
      </w:r>
    </w:p>
    <w:p w14:paraId="45383694" w14:textId="77777777" w:rsidR="00374E4B" w:rsidRPr="0097043E" w:rsidRDefault="00374E4B" w:rsidP="00374E4B">
      <w:pPr>
        <w:pStyle w:val="NormalWeb"/>
        <w:shd w:val="clear" w:color="auto" w:fill="FFFFFF"/>
        <w:spacing w:before="0" w:beforeAutospacing="0" w:after="0" w:afterAutospacing="0"/>
        <w:jc w:val="both"/>
        <w:rPr>
          <w:color w:val="000000"/>
          <w:sz w:val="20"/>
          <w:szCs w:val="20"/>
        </w:rPr>
      </w:pPr>
      <w:r w:rsidRPr="0097043E">
        <w:rPr>
          <w:color w:val="000000"/>
          <w:sz w:val="20"/>
          <w:szCs w:val="20"/>
        </w:rPr>
        <w:t> </w:t>
      </w:r>
    </w:p>
    <w:p w14:paraId="1892B15F" w14:textId="77777777" w:rsidR="00374E4B" w:rsidRPr="0097043E" w:rsidRDefault="00374E4B" w:rsidP="00374E4B">
      <w:pPr>
        <w:pStyle w:val="NormalWeb"/>
        <w:shd w:val="clear" w:color="auto" w:fill="FFFFFF"/>
        <w:spacing w:before="0" w:beforeAutospacing="0" w:after="0" w:afterAutospacing="0"/>
        <w:jc w:val="both"/>
        <w:rPr>
          <w:color w:val="000000"/>
          <w:sz w:val="20"/>
          <w:szCs w:val="20"/>
        </w:rPr>
      </w:pPr>
      <w:r w:rsidRPr="0097043E">
        <w:rPr>
          <w:color w:val="000000"/>
          <w:sz w:val="20"/>
          <w:szCs w:val="20"/>
        </w:rPr>
        <w:t>Respecto a la </w:t>
      </w:r>
      <w:r w:rsidRPr="005A31CA">
        <w:rPr>
          <w:rStyle w:val="Textoennegrita"/>
          <w:rFonts w:eastAsiaTheme="majorEastAsia"/>
          <w:b w:val="0"/>
          <w:bCs w:val="0"/>
          <w:color w:val="000000"/>
          <w:sz w:val="20"/>
          <w:szCs w:val="20"/>
        </w:rPr>
        <w:t>programación de metas</w:t>
      </w:r>
      <w:r w:rsidRPr="0097043E">
        <w:rPr>
          <w:rStyle w:val="Textoennegrita"/>
          <w:rFonts w:eastAsiaTheme="majorEastAsia"/>
          <w:color w:val="000000"/>
          <w:sz w:val="20"/>
          <w:szCs w:val="20"/>
        </w:rPr>
        <w:t xml:space="preserve"> – </w:t>
      </w:r>
      <w:r w:rsidRPr="005A31CA">
        <w:rPr>
          <w:rStyle w:val="Textoennegrita"/>
          <w:rFonts w:eastAsiaTheme="majorEastAsia"/>
          <w:b w:val="0"/>
          <w:bCs w:val="0"/>
          <w:color w:val="000000"/>
          <w:sz w:val="20"/>
          <w:szCs w:val="20"/>
        </w:rPr>
        <w:t>Resultado del Indicador Año 2025</w:t>
      </w:r>
      <w:r w:rsidRPr="0097043E">
        <w:rPr>
          <w:color w:val="000000"/>
          <w:sz w:val="20"/>
          <w:szCs w:val="20"/>
        </w:rPr>
        <w:t>, se superó ampliamente la meta establecida de 50 resoluciones, alcanzándose la </w:t>
      </w:r>
      <w:r w:rsidRPr="005A31CA">
        <w:rPr>
          <w:rStyle w:val="Textoennegrita"/>
          <w:rFonts w:eastAsiaTheme="majorEastAsia"/>
          <w:b w:val="0"/>
          <w:bCs w:val="0"/>
          <w:color w:val="000000"/>
          <w:sz w:val="20"/>
          <w:szCs w:val="20"/>
        </w:rPr>
        <w:t>emisión de 66 resoluciones</w:t>
      </w:r>
      <w:r w:rsidRPr="0097043E">
        <w:rPr>
          <w:color w:val="000000"/>
          <w:sz w:val="20"/>
          <w:szCs w:val="20"/>
        </w:rPr>
        <w:t>, equivalente a un </w:t>
      </w:r>
      <w:r w:rsidRPr="0097043E">
        <w:rPr>
          <w:rStyle w:val="Textoennegrita"/>
          <w:rFonts w:eastAsiaTheme="majorEastAsia"/>
          <w:color w:val="000000"/>
          <w:sz w:val="20"/>
          <w:szCs w:val="20"/>
        </w:rPr>
        <w:t xml:space="preserve">132% </w:t>
      </w:r>
      <w:r w:rsidRPr="005A31CA">
        <w:rPr>
          <w:rStyle w:val="Textoennegrita"/>
          <w:rFonts w:eastAsiaTheme="majorEastAsia"/>
          <w:b w:val="0"/>
          <w:bCs w:val="0"/>
          <w:color w:val="000000"/>
          <w:sz w:val="20"/>
          <w:szCs w:val="20"/>
        </w:rPr>
        <w:t>de cumplimiento</w:t>
      </w:r>
      <w:r w:rsidRPr="0097043E">
        <w:rPr>
          <w:color w:val="000000"/>
          <w:sz w:val="20"/>
          <w:szCs w:val="20"/>
        </w:rPr>
        <w:t xml:space="preserve">, mediante transferencias ordinarias y extraordinarias que beneficiaron, en promedio trimestral, </w:t>
      </w:r>
      <w:r w:rsidRPr="005A31CA">
        <w:rPr>
          <w:color w:val="000000"/>
          <w:sz w:val="20"/>
          <w:szCs w:val="20"/>
        </w:rPr>
        <w:t>a</w:t>
      </w:r>
      <w:r w:rsidRPr="005A31CA">
        <w:rPr>
          <w:b/>
          <w:bCs/>
          <w:color w:val="000000"/>
          <w:sz w:val="20"/>
          <w:szCs w:val="20"/>
        </w:rPr>
        <w:t> </w:t>
      </w:r>
      <w:r w:rsidRPr="005A31CA">
        <w:rPr>
          <w:rStyle w:val="Textoennegrita"/>
          <w:rFonts w:eastAsiaTheme="majorEastAsia"/>
          <w:b w:val="0"/>
          <w:bCs w:val="0"/>
          <w:color w:val="000000"/>
          <w:sz w:val="20"/>
          <w:szCs w:val="20"/>
        </w:rPr>
        <w:t>270 establecimientos de salud en todo el país</w:t>
      </w:r>
      <w:r w:rsidRPr="005A31CA">
        <w:rPr>
          <w:b/>
          <w:bCs/>
          <w:color w:val="000000"/>
          <w:sz w:val="20"/>
          <w:szCs w:val="20"/>
        </w:rPr>
        <w:t>.</w:t>
      </w:r>
    </w:p>
    <w:p w14:paraId="4EAB48AD" w14:textId="77777777" w:rsidR="00374E4B" w:rsidRPr="0097043E" w:rsidRDefault="00374E4B" w:rsidP="00374E4B">
      <w:pPr>
        <w:pStyle w:val="NormalWeb"/>
        <w:shd w:val="clear" w:color="auto" w:fill="FFFFFF"/>
        <w:spacing w:before="0" w:beforeAutospacing="0" w:after="0" w:afterAutospacing="0"/>
        <w:jc w:val="both"/>
        <w:rPr>
          <w:color w:val="000000"/>
          <w:sz w:val="20"/>
          <w:szCs w:val="20"/>
        </w:rPr>
      </w:pPr>
      <w:r w:rsidRPr="0097043E">
        <w:rPr>
          <w:color w:val="000000"/>
          <w:sz w:val="20"/>
          <w:szCs w:val="20"/>
        </w:rPr>
        <w:t> </w:t>
      </w:r>
    </w:p>
    <w:p w14:paraId="1C0FF369" w14:textId="77777777" w:rsidR="00374E4B" w:rsidRPr="0097043E" w:rsidRDefault="00374E4B" w:rsidP="00374E4B">
      <w:pPr>
        <w:pStyle w:val="NormalWeb"/>
        <w:shd w:val="clear" w:color="auto" w:fill="FFFFFF"/>
        <w:spacing w:before="0" w:beforeAutospacing="0" w:after="0" w:afterAutospacing="0"/>
        <w:jc w:val="both"/>
        <w:rPr>
          <w:color w:val="000000"/>
          <w:sz w:val="20"/>
          <w:szCs w:val="20"/>
        </w:rPr>
      </w:pPr>
      <w:r w:rsidRPr="0097043E">
        <w:rPr>
          <w:color w:val="000000"/>
          <w:sz w:val="20"/>
          <w:szCs w:val="20"/>
        </w:rPr>
        <w:t>En términos de </w:t>
      </w:r>
      <w:r w:rsidRPr="005A31CA">
        <w:rPr>
          <w:rStyle w:val="Textoennegrita"/>
          <w:rFonts w:eastAsiaTheme="majorEastAsia"/>
          <w:b w:val="0"/>
          <w:bCs w:val="0"/>
          <w:color w:val="000000"/>
          <w:sz w:val="20"/>
          <w:szCs w:val="20"/>
        </w:rPr>
        <w:t>ejecución presupuestaria</w:t>
      </w:r>
      <w:r w:rsidRPr="0097043E">
        <w:rPr>
          <w:color w:val="000000"/>
          <w:sz w:val="20"/>
          <w:szCs w:val="20"/>
        </w:rPr>
        <w:t>, se alcanzó un </w:t>
      </w:r>
      <w:r w:rsidRPr="0097043E">
        <w:rPr>
          <w:rStyle w:val="Textoennegrita"/>
          <w:rFonts w:eastAsiaTheme="majorEastAsia"/>
          <w:color w:val="000000"/>
          <w:sz w:val="20"/>
          <w:szCs w:val="20"/>
        </w:rPr>
        <w:t>72%</w:t>
      </w:r>
      <w:r w:rsidRPr="0097043E">
        <w:rPr>
          <w:color w:val="000000"/>
          <w:sz w:val="20"/>
          <w:szCs w:val="20"/>
        </w:rPr>
        <w:t>, con una asignación total de </w:t>
      </w:r>
      <w:r w:rsidRPr="0097043E">
        <w:rPr>
          <w:rStyle w:val="Textoennegrita"/>
          <w:rFonts w:eastAsiaTheme="majorEastAsia"/>
          <w:color w:val="000000"/>
          <w:sz w:val="20"/>
          <w:szCs w:val="20"/>
        </w:rPr>
        <w:t>Gs. 17.331.640.484</w:t>
      </w:r>
      <w:r w:rsidRPr="0097043E">
        <w:rPr>
          <w:color w:val="000000"/>
          <w:sz w:val="20"/>
          <w:szCs w:val="20"/>
        </w:rPr>
        <w:t>, canalizados a través del </w:t>
      </w:r>
      <w:r w:rsidRPr="005A31CA">
        <w:rPr>
          <w:rStyle w:val="Textoennegrita"/>
          <w:rFonts w:eastAsiaTheme="majorEastAsia"/>
          <w:b w:val="0"/>
          <w:bCs w:val="0"/>
          <w:color w:val="000000"/>
          <w:sz w:val="20"/>
          <w:szCs w:val="20"/>
        </w:rPr>
        <w:t>Objeto de Gasto 834 – “Otras Transferencias al Sector Público y Organismos Regionales”</w:t>
      </w:r>
      <w:r w:rsidRPr="005A31CA">
        <w:rPr>
          <w:b/>
          <w:bCs/>
          <w:color w:val="000000"/>
          <w:sz w:val="20"/>
          <w:szCs w:val="20"/>
        </w:rPr>
        <w:t xml:space="preserve">, </w:t>
      </w:r>
      <w:r w:rsidRPr="005A31CA">
        <w:rPr>
          <w:color w:val="000000"/>
          <w:sz w:val="20"/>
          <w:szCs w:val="20"/>
        </w:rPr>
        <w:t>discriminados</w:t>
      </w:r>
      <w:r w:rsidRPr="005A31CA">
        <w:rPr>
          <w:b/>
          <w:bCs/>
          <w:color w:val="000000"/>
          <w:sz w:val="20"/>
          <w:szCs w:val="20"/>
        </w:rPr>
        <w:t xml:space="preserve"> </w:t>
      </w:r>
      <w:r w:rsidRPr="005A31CA">
        <w:rPr>
          <w:color w:val="000000"/>
          <w:sz w:val="20"/>
          <w:szCs w:val="20"/>
        </w:rPr>
        <w:t>en</w:t>
      </w:r>
      <w:r w:rsidRPr="005A31CA">
        <w:rPr>
          <w:b/>
          <w:bCs/>
          <w:color w:val="000000"/>
          <w:sz w:val="20"/>
          <w:szCs w:val="20"/>
        </w:rPr>
        <w:t> </w:t>
      </w:r>
      <w:r w:rsidRPr="005A31CA">
        <w:rPr>
          <w:rStyle w:val="Textoennegrita"/>
          <w:rFonts w:eastAsiaTheme="majorEastAsia"/>
          <w:b w:val="0"/>
          <w:bCs w:val="0"/>
          <w:color w:val="000000"/>
          <w:sz w:val="20"/>
          <w:szCs w:val="20"/>
        </w:rPr>
        <w:t>Gs. 15.084.251.286 en transferencias ordinarias</w:t>
      </w:r>
      <w:r w:rsidRPr="005A31CA">
        <w:rPr>
          <w:b/>
          <w:bCs/>
          <w:color w:val="000000"/>
          <w:sz w:val="20"/>
          <w:szCs w:val="20"/>
        </w:rPr>
        <w:t> y </w:t>
      </w:r>
      <w:r w:rsidRPr="005A31CA">
        <w:rPr>
          <w:rStyle w:val="Textoennegrita"/>
          <w:rFonts w:eastAsiaTheme="majorEastAsia"/>
          <w:b w:val="0"/>
          <w:bCs w:val="0"/>
          <w:color w:val="000000"/>
          <w:sz w:val="20"/>
          <w:szCs w:val="20"/>
        </w:rPr>
        <w:t>Gs. 2.247.389.198 en transferencias extraordinarias</w:t>
      </w:r>
      <w:r w:rsidRPr="0097043E">
        <w:rPr>
          <w:color w:val="000000"/>
          <w:sz w:val="20"/>
          <w:szCs w:val="20"/>
        </w:rPr>
        <w:t>. El cumplimiento del indicador es </w:t>
      </w:r>
      <w:r w:rsidRPr="005A31CA">
        <w:rPr>
          <w:rStyle w:val="Textoennegrita"/>
          <w:rFonts w:eastAsiaTheme="majorEastAsia"/>
          <w:b w:val="0"/>
          <w:bCs w:val="0"/>
          <w:color w:val="000000"/>
          <w:sz w:val="20"/>
          <w:szCs w:val="20"/>
        </w:rPr>
        <w:t>parcial por causas ajenas a la institución</w:t>
      </w:r>
      <w:r w:rsidRPr="005A31CA">
        <w:rPr>
          <w:b/>
          <w:bCs/>
          <w:color w:val="000000"/>
          <w:sz w:val="20"/>
          <w:szCs w:val="20"/>
        </w:rPr>
        <w:t xml:space="preserve">, </w:t>
      </w:r>
      <w:r w:rsidRPr="005A31CA">
        <w:rPr>
          <w:color w:val="000000"/>
          <w:sz w:val="20"/>
          <w:szCs w:val="20"/>
        </w:rPr>
        <w:t>debido a la</w:t>
      </w:r>
      <w:r w:rsidRPr="005A31CA">
        <w:rPr>
          <w:b/>
          <w:bCs/>
          <w:color w:val="000000"/>
          <w:sz w:val="20"/>
          <w:szCs w:val="20"/>
        </w:rPr>
        <w:t> </w:t>
      </w:r>
      <w:r w:rsidRPr="005A31CA">
        <w:rPr>
          <w:rStyle w:val="Textoennegrita"/>
          <w:rFonts w:eastAsiaTheme="majorEastAsia"/>
          <w:b w:val="0"/>
          <w:bCs w:val="0"/>
          <w:color w:val="000000"/>
          <w:sz w:val="20"/>
          <w:szCs w:val="20"/>
        </w:rPr>
        <w:t>no autorización de disponibilidad de Plan de Caja por parte del MEF</w:t>
      </w:r>
      <w:r w:rsidRPr="0097043E">
        <w:rPr>
          <w:color w:val="000000"/>
          <w:sz w:val="20"/>
          <w:szCs w:val="20"/>
        </w:rPr>
        <w:t>, lo que impidió la transferencia de </w:t>
      </w:r>
      <w:r w:rsidRPr="0097043E">
        <w:rPr>
          <w:rStyle w:val="Textoennegrita"/>
          <w:rFonts w:eastAsiaTheme="majorEastAsia"/>
          <w:color w:val="000000"/>
          <w:sz w:val="20"/>
          <w:szCs w:val="20"/>
        </w:rPr>
        <w:t>Gs. 5.221.640.484 (</w:t>
      </w:r>
      <w:r w:rsidRPr="005A31CA">
        <w:rPr>
          <w:rStyle w:val="Textoennegrita"/>
          <w:rFonts w:eastAsiaTheme="majorEastAsia"/>
          <w:b w:val="0"/>
          <w:bCs w:val="0"/>
          <w:color w:val="000000"/>
          <w:sz w:val="20"/>
          <w:szCs w:val="20"/>
        </w:rPr>
        <w:t>correspondientes al último trimestre)</w:t>
      </w:r>
      <w:r w:rsidRPr="005A31CA">
        <w:rPr>
          <w:b/>
          <w:bCs/>
          <w:color w:val="000000"/>
          <w:sz w:val="20"/>
          <w:szCs w:val="20"/>
        </w:rPr>
        <w:t>,</w:t>
      </w:r>
      <w:r w:rsidRPr="0097043E">
        <w:rPr>
          <w:color w:val="000000"/>
          <w:sz w:val="20"/>
          <w:szCs w:val="20"/>
        </w:rPr>
        <w:t xml:space="preserve"> pese a haberse cumplido íntegramente las gestiones administrativas y actos resolutivos de competencia institucional. Todas las transferencias efectuadas se realizaron </w:t>
      </w:r>
      <w:r w:rsidRPr="005A31CA">
        <w:rPr>
          <w:color w:val="000000"/>
          <w:sz w:val="20"/>
          <w:szCs w:val="20"/>
        </w:rPr>
        <w:t>mediante</w:t>
      </w:r>
      <w:r w:rsidRPr="005A31CA">
        <w:rPr>
          <w:b/>
          <w:bCs/>
          <w:color w:val="000000"/>
          <w:sz w:val="20"/>
          <w:szCs w:val="20"/>
        </w:rPr>
        <w:t> </w:t>
      </w:r>
      <w:r w:rsidRPr="005A31CA">
        <w:rPr>
          <w:rStyle w:val="Textoennegrita"/>
          <w:rFonts w:eastAsiaTheme="majorEastAsia"/>
          <w:b w:val="0"/>
          <w:bCs w:val="0"/>
          <w:color w:val="000000"/>
          <w:sz w:val="20"/>
          <w:szCs w:val="20"/>
        </w:rPr>
        <w:t>transferencias interbancarias vía SIPAP</w:t>
      </w:r>
      <w:r w:rsidRPr="0097043E">
        <w:rPr>
          <w:color w:val="000000"/>
          <w:sz w:val="20"/>
          <w:szCs w:val="20"/>
        </w:rPr>
        <w:t>, garantizando trazabilidad y transparencia.</w:t>
      </w:r>
    </w:p>
    <w:p w14:paraId="2AF9BF77" w14:textId="77777777" w:rsidR="00374E4B" w:rsidRPr="0097043E" w:rsidRDefault="00374E4B" w:rsidP="00374E4B">
      <w:pPr>
        <w:pStyle w:val="NormalWeb"/>
        <w:shd w:val="clear" w:color="auto" w:fill="FFFFFF"/>
        <w:spacing w:before="0" w:beforeAutospacing="0" w:after="0" w:afterAutospacing="0"/>
        <w:jc w:val="both"/>
        <w:rPr>
          <w:color w:val="000000"/>
          <w:sz w:val="20"/>
          <w:szCs w:val="20"/>
        </w:rPr>
      </w:pPr>
      <w:r w:rsidRPr="0097043E">
        <w:rPr>
          <w:color w:val="000000"/>
          <w:sz w:val="20"/>
          <w:szCs w:val="20"/>
        </w:rPr>
        <w:t> </w:t>
      </w:r>
    </w:p>
    <w:p w14:paraId="4A32F42C" w14:textId="77777777" w:rsidR="00374E4B" w:rsidRPr="0097043E" w:rsidRDefault="00374E4B" w:rsidP="00374E4B">
      <w:pPr>
        <w:pStyle w:val="NormalWeb"/>
        <w:shd w:val="clear" w:color="auto" w:fill="FFFFFF"/>
        <w:spacing w:before="0" w:beforeAutospacing="0" w:after="0" w:afterAutospacing="0"/>
        <w:jc w:val="both"/>
        <w:rPr>
          <w:color w:val="000000"/>
          <w:sz w:val="20"/>
          <w:szCs w:val="20"/>
        </w:rPr>
      </w:pPr>
      <w:r w:rsidRPr="0097043E">
        <w:rPr>
          <w:color w:val="000000"/>
          <w:sz w:val="20"/>
          <w:szCs w:val="20"/>
        </w:rPr>
        <w:t>En el </w:t>
      </w:r>
      <w:r w:rsidRPr="00FC22A8">
        <w:rPr>
          <w:rStyle w:val="Textoennegrita"/>
          <w:rFonts w:eastAsiaTheme="majorEastAsia"/>
          <w:b w:val="0"/>
          <w:bCs w:val="0"/>
          <w:color w:val="000000"/>
          <w:sz w:val="20"/>
          <w:szCs w:val="20"/>
        </w:rPr>
        <w:t>segundo año de implementación del modelo FOBARE</w:t>
      </w:r>
      <w:r w:rsidRPr="0097043E">
        <w:rPr>
          <w:rStyle w:val="Textoennegrita"/>
          <w:rFonts w:eastAsiaTheme="majorEastAsia"/>
          <w:color w:val="000000"/>
          <w:sz w:val="20"/>
          <w:szCs w:val="20"/>
        </w:rPr>
        <w:t>S</w:t>
      </w:r>
      <w:r w:rsidRPr="0097043E">
        <w:rPr>
          <w:color w:val="000000"/>
          <w:sz w:val="20"/>
          <w:szCs w:val="20"/>
        </w:rPr>
        <w:t>, se dio continuidad al </w:t>
      </w:r>
      <w:r w:rsidRPr="00FC22A8">
        <w:rPr>
          <w:rStyle w:val="Textoennegrita"/>
          <w:rFonts w:eastAsiaTheme="majorEastAsia"/>
          <w:b w:val="0"/>
          <w:bCs w:val="0"/>
          <w:color w:val="000000"/>
          <w:sz w:val="20"/>
          <w:szCs w:val="20"/>
        </w:rPr>
        <w:t>Programa Ampliado de Inmunizaciones (PAI)</w:t>
      </w:r>
      <w:r w:rsidRPr="0097043E">
        <w:rPr>
          <w:color w:val="000000"/>
          <w:sz w:val="20"/>
          <w:szCs w:val="20"/>
        </w:rPr>
        <w:t>, conforme a la </w:t>
      </w:r>
      <w:r w:rsidRPr="0097043E">
        <w:rPr>
          <w:rStyle w:val="Textoennegrita"/>
          <w:rFonts w:eastAsiaTheme="majorEastAsia"/>
          <w:color w:val="000000"/>
          <w:sz w:val="20"/>
          <w:szCs w:val="20"/>
        </w:rPr>
        <w:t>Resolución SG N° 085/2024</w:t>
      </w:r>
      <w:r w:rsidRPr="0097043E">
        <w:rPr>
          <w:color w:val="000000"/>
          <w:sz w:val="20"/>
          <w:szCs w:val="20"/>
        </w:rPr>
        <w:t>, con una asignación exclusiva de </w:t>
      </w:r>
      <w:r w:rsidRPr="0097043E">
        <w:rPr>
          <w:rStyle w:val="Textoennegrita"/>
          <w:rFonts w:eastAsiaTheme="majorEastAsia"/>
          <w:color w:val="000000"/>
          <w:sz w:val="20"/>
          <w:szCs w:val="20"/>
        </w:rPr>
        <w:t>Gs. 1.235.753.755</w:t>
      </w:r>
      <w:r w:rsidRPr="0097043E">
        <w:rPr>
          <w:color w:val="000000"/>
          <w:sz w:val="20"/>
          <w:szCs w:val="20"/>
        </w:rPr>
        <w:t>. Asimismo, en 2025 se incorporó el </w:t>
      </w:r>
      <w:r w:rsidRPr="005A31CA">
        <w:rPr>
          <w:rStyle w:val="Textoennegrita"/>
          <w:rFonts w:eastAsiaTheme="majorEastAsia"/>
          <w:b w:val="0"/>
          <w:bCs w:val="0"/>
          <w:color w:val="000000"/>
          <w:sz w:val="20"/>
          <w:szCs w:val="20"/>
        </w:rPr>
        <w:t>Programa de Salud Bucodental</w:t>
      </w:r>
      <w:r w:rsidRPr="0097043E">
        <w:rPr>
          <w:color w:val="000000"/>
          <w:sz w:val="20"/>
          <w:szCs w:val="20"/>
        </w:rPr>
        <w:t> como segundo programa prioritario, aprobado por </w:t>
      </w:r>
      <w:r w:rsidRPr="0097043E">
        <w:rPr>
          <w:rStyle w:val="Textoennegrita"/>
          <w:rFonts w:eastAsiaTheme="majorEastAsia"/>
          <w:color w:val="000000"/>
          <w:sz w:val="20"/>
          <w:szCs w:val="20"/>
        </w:rPr>
        <w:t>Resolución SG N° 168/2025</w:t>
      </w:r>
      <w:r w:rsidRPr="0097043E">
        <w:rPr>
          <w:color w:val="000000"/>
          <w:sz w:val="20"/>
          <w:szCs w:val="20"/>
        </w:rPr>
        <w:t>, con metas e instrumentos de evaluación específicos para </w:t>
      </w:r>
      <w:r w:rsidRPr="005A31CA">
        <w:rPr>
          <w:rStyle w:val="Textoennegrita"/>
          <w:rFonts w:eastAsiaTheme="majorEastAsia"/>
          <w:b w:val="0"/>
          <w:bCs w:val="0"/>
          <w:color w:val="000000"/>
          <w:sz w:val="20"/>
          <w:szCs w:val="20"/>
        </w:rPr>
        <w:t>embarazadas, primera infancia y escolares</w:t>
      </w:r>
      <w:r w:rsidRPr="0097043E">
        <w:rPr>
          <w:color w:val="000000"/>
          <w:sz w:val="20"/>
          <w:szCs w:val="20"/>
        </w:rPr>
        <w:t>, destinándose </w:t>
      </w:r>
      <w:r w:rsidRPr="0097043E">
        <w:rPr>
          <w:rStyle w:val="Textoennegrita"/>
          <w:rFonts w:eastAsiaTheme="majorEastAsia"/>
          <w:color w:val="000000"/>
          <w:sz w:val="20"/>
          <w:szCs w:val="20"/>
        </w:rPr>
        <w:t>Gs. 488.710.019</w:t>
      </w:r>
      <w:r w:rsidRPr="0097043E">
        <w:rPr>
          <w:color w:val="000000"/>
          <w:sz w:val="20"/>
          <w:szCs w:val="20"/>
        </w:rPr>
        <w:t>.</w:t>
      </w:r>
    </w:p>
    <w:p w14:paraId="1FCE21D0" w14:textId="77777777" w:rsidR="00374E4B" w:rsidRPr="0097043E" w:rsidRDefault="00374E4B" w:rsidP="00374E4B">
      <w:pPr>
        <w:pStyle w:val="NormalWeb"/>
        <w:shd w:val="clear" w:color="auto" w:fill="FFFFFF"/>
        <w:spacing w:before="0" w:beforeAutospacing="0" w:after="0" w:afterAutospacing="0"/>
        <w:jc w:val="both"/>
        <w:rPr>
          <w:color w:val="000000"/>
          <w:sz w:val="20"/>
          <w:szCs w:val="20"/>
        </w:rPr>
      </w:pPr>
      <w:r w:rsidRPr="0097043E">
        <w:rPr>
          <w:color w:val="000000"/>
          <w:sz w:val="20"/>
          <w:szCs w:val="20"/>
        </w:rPr>
        <w:t> </w:t>
      </w:r>
    </w:p>
    <w:p w14:paraId="41F3FCA2" w14:textId="77777777" w:rsidR="00374E4B" w:rsidRPr="0097043E" w:rsidRDefault="00374E4B" w:rsidP="00374E4B">
      <w:pPr>
        <w:pStyle w:val="NormalWeb"/>
        <w:shd w:val="clear" w:color="auto" w:fill="FFFFFF"/>
        <w:spacing w:before="0" w:beforeAutospacing="0" w:after="0" w:afterAutospacing="0"/>
        <w:jc w:val="both"/>
        <w:rPr>
          <w:color w:val="000000"/>
          <w:sz w:val="20"/>
          <w:szCs w:val="20"/>
        </w:rPr>
      </w:pPr>
      <w:r w:rsidRPr="0097043E">
        <w:rPr>
          <w:color w:val="000000"/>
          <w:sz w:val="20"/>
          <w:szCs w:val="20"/>
        </w:rPr>
        <w:t>Se otorgaron </w:t>
      </w:r>
      <w:r w:rsidRPr="005A31CA">
        <w:rPr>
          <w:rStyle w:val="Textoennegrita"/>
          <w:rFonts w:eastAsiaTheme="majorEastAsia"/>
          <w:b w:val="0"/>
          <w:bCs w:val="0"/>
          <w:color w:val="000000"/>
          <w:sz w:val="20"/>
          <w:szCs w:val="20"/>
        </w:rPr>
        <w:t>transferencias extraordinarias</w:t>
      </w:r>
      <w:r w:rsidRPr="005A31CA">
        <w:rPr>
          <w:b/>
          <w:bCs/>
          <w:color w:val="000000"/>
          <w:sz w:val="20"/>
          <w:szCs w:val="20"/>
        </w:rPr>
        <w:t> para</w:t>
      </w:r>
      <w:r w:rsidRPr="0097043E">
        <w:rPr>
          <w:color w:val="000000"/>
          <w:sz w:val="20"/>
          <w:szCs w:val="20"/>
        </w:rPr>
        <w:t xml:space="preserve"> el fortalecimiento de establecimientos de salud de distintos niveles de complejidad, destacándose el apoyo al </w:t>
      </w:r>
      <w:r w:rsidRPr="0097043E">
        <w:rPr>
          <w:rStyle w:val="Textoennegrita"/>
          <w:rFonts w:eastAsiaTheme="majorEastAsia"/>
          <w:color w:val="000000"/>
          <w:sz w:val="20"/>
          <w:szCs w:val="20"/>
        </w:rPr>
        <w:t>INCAN</w:t>
      </w:r>
      <w:r w:rsidRPr="0097043E">
        <w:rPr>
          <w:color w:val="000000"/>
          <w:sz w:val="20"/>
          <w:szCs w:val="20"/>
        </w:rPr>
        <w:t>, al </w:t>
      </w:r>
      <w:r w:rsidRPr="0097043E">
        <w:rPr>
          <w:rStyle w:val="Textoennegrita"/>
          <w:rFonts w:eastAsiaTheme="majorEastAsia"/>
          <w:color w:val="000000"/>
          <w:sz w:val="20"/>
          <w:szCs w:val="20"/>
        </w:rPr>
        <w:t>CMI Aldea SOS Belén</w:t>
      </w:r>
      <w:r w:rsidRPr="0097043E">
        <w:rPr>
          <w:color w:val="000000"/>
          <w:sz w:val="20"/>
          <w:szCs w:val="20"/>
        </w:rPr>
        <w:t>, el fortalecimiento institucional de la </w:t>
      </w:r>
      <w:r w:rsidRPr="0097043E">
        <w:rPr>
          <w:rStyle w:val="Textoennegrita"/>
          <w:rFonts w:eastAsiaTheme="majorEastAsia"/>
          <w:color w:val="000000"/>
          <w:sz w:val="20"/>
          <w:szCs w:val="20"/>
        </w:rPr>
        <w:t>DGRRHH del MSPyBS</w:t>
      </w:r>
      <w:r w:rsidRPr="0097043E">
        <w:rPr>
          <w:color w:val="000000"/>
          <w:sz w:val="20"/>
          <w:szCs w:val="20"/>
        </w:rPr>
        <w:t> mediante equipamiento informático, y la adquisición de equipamientos estratégicos como electrobisturí, ecógrafo, detector inalámbrico de rayos X, mesa quirúrgica electrohidráulica y equipamiento para pabellones quirúrgicos en hospitales regionales y distritales.</w:t>
      </w:r>
    </w:p>
    <w:p w14:paraId="482FA50C" w14:textId="77777777" w:rsidR="00374E4B" w:rsidRPr="0097043E" w:rsidRDefault="00374E4B" w:rsidP="00374E4B">
      <w:pPr>
        <w:pStyle w:val="NormalWeb"/>
        <w:shd w:val="clear" w:color="auto" w:fill="FFFFFF"/>
        <w:spacing w:before="0" w:beforeAutospacing="0" w:after="0" w:afterAutospacing="0"/>
        <w:jc w:val="both"/>
        <w:rPr>
          <w:color w:val="000000"/>
          <w:sz w:val="20"/>
          <w:szCs w:val="20"/>
        </w:rPr>
      </w:pPr>
      <w:r w:rsidRPr="0097043E">
        <w:rPr>
          <w:color w:val="000000"/>
          <w:sz w:val="20"/>
          <w:szCs w:val="20"/>
        </w:rPr>
        <w:t> </w:t>
      </w:r>
    </w:p>
    <w:p w14:paraId="66DBA129" w14:textId="77777777" w:rsidR="00374E4B" w:rsidRPr="005A31CA" w:rsidRDefault="00374E4B" w:rsidP="00374E4B">
      <w:pPr>
        <w:pStyle w:val="NormalWeb"/>
        <w:shd w:val="clear" w:color="auto" w:fill="FFFFFF"/>
        <w:spacing w:before="0" w:beforeAutospacing="0" w:after="0" w:afterAutospacing="0"/>
        <w:jc w:val="both"/>
        <w:rPr>
          <w:b/>
          <w:bCs/>
          <w:color w:val="000000"/>
          <w:sz w:val="20"/>
          <w:szCs w:val="20"/>
        </w:rPr>
      </w:pPr>
      <w:r w:rsidRPr="0097043E">
        <w:rPr>
          <w:color w:val="000000"/>
          <w:sz w:val="20"/>
          <w:szCs w:val="20"/>
        </w:rPr>
        <w:t>En el marco del </w:t>
      </w:r>
      <w:r w:rsidRPr="005A31CA">
        <w:rPr>
          <w:rStyle w:val="Textoennegrita"/>
          <w:rFonts w:eastAsiaTheme="majorEastAsia"/>
          <w:b w:val="0"/>
          <w:bCs w:val="0"/>
          <w:color w:val="000000"/>
          <w:sz w:val="20"/>
          <w:szCs w:val="20"/>
        </w:rPr>
        <w:t>Proyecto de Fortalecimiento del Sector Público de Salud – Préstamo N° 8963-PY</w:t>
      </w:r>
      <w:r w:rsidRPr="005A31CA">
        <w:rPr>
          <w:b/>
          <w:bCs/>
          <w:color w:val="000000"/>
          <w:sz w:val="20"/>
          <w:szCs w:val="20"/>
        </w:rPr>
        <w:t xml:space="preserve">, se </w:t>
      </w:r>
      <w:r w:rsidRPr="005A31CA">
        <w:rPr>
          <w:color w:val="000000"/>
          <w:sz w:val="20"/>
          <w:szCs w:val="20"/>
        </w:rPr>
        <w:t>autorizaron transferencias por</w:t>
      </w:r>
      <w:r w:rsidRPr="005A31CA">
        <w:rPr>
          <w:b/>
          <w:bCs/>
          <w:color w:val="000000"/>
          <w:sz w:val="20"/>
          <w:szCs w:val="20"/>
        </w:rPr>
        <w:t> </w:t>
      </w:r>
      <w:r w:rsidRPr="005A31CA">
        <w:rPr>
          <w:rStyle w:val="Textoennegrita"/>
          <w:rFonts w:eastAsiaTheme="majorEastAsia"/>
          <w:b w:val="0"/>
          <w:bCs w:val="0"/>
          <w:color w:val="000000"/>
          <w:sz w:val="20"/>
          <w:szCs w:val="20"/>
        </w:rPr>
        <w:t>Gs. 4.759.048.500</w:t>
      </w:r>
      <w:r w:rsidRPr="005A31CA">
        <w:rPr>
          <w:b/>
          <w:bCs/>
          <w:color w:val="000000"/>
          <w:sz w:val="20"/>
          <w:szCs w:val="20"/>
        </w:rPr>
        <w:t> a un promedio de </w:t>
      </w:r>
      <w:r w:rsidRPr="005A31CA">
        <w:rPr>
          <w:rStyle w:val="Textoennegrita"/>
          <w:rFonts w:eastAsiaTheme="majorEastAsia"/>
          <w:b w:val="0"/>
          <w:bCs w:val="0"/>
          <w:color w:val="000000"/>
          <w:sz w:val="20"/>
          <w:szCs w:val="20"/>
        </w:rPr>
        <w:t>236 Consejos de Salud</w:t>
      </w:r>
      <w:r w:rsidRPr="005A31CA">
        <w:rPr>
          <w:color w:val="000000"/>
          <w:sz w:val="20"/>
          <w:szCs w:val="20"/>
        </w:rPr>
        <w:t>, beneficiando</w:t>
      </w:r>
      <w:r w:rsidRPr="005A31CA">
        <w:rPr>
          <w:b/>
          <w:bCs/>
          <w:color w:val="000000"/>
          <w:sz w:val="20"/>
          <w:szCs w:val="20"/>
        </w:rPr>
        <w:t xml:space="preserve"> a </w:t>
      </w:r>
      <w:r w:rsidRPr="005A31CA">
        <w:rPr>
          <w:rStyle w:val="Textoennegrita"/>
          <w:rFonts w:eastAsiaTheme="majorEastAsia"/>
          <w:b w:val="0"/>
          <w:bCs w:val="0"/>
          <w:color w:val="000000"/>
          <w:sz w:val="20"/>
          <w:szCs w:val="20"/>
        </w:rPr>
        <w:t>Unidades de Salud de la Familia en las 18 regiones sanitarias</w:t>
      </w:r>
      <w:r w:rsidRPr="005A31CA">
        <w:rPr>
          <w:b/>
          <w:bCs/>
          <w:color w:val="000000"/>
          <w:sz w:val="20"/>
          <w:szCs w:val="20"/>
        </w:rPr>
        <w:t>, con </w:t>
      </w:r>
      <w:r w:rsidRPr="005A31CA">
        <w:rPr>
          <w:rStyle w:val="Textoennegrita"/>
          <w:rFonts w:eastAsiaTheme="majorEastAsia"/>
          <w:b w:val="0"/>
          <w:bCs w:val="0"/>
          <w:color w:val="000000"/>
          <w:sz w:val="20"/>
          <w:szCs w:val="20"/>
        </w:rPr>
        <w:t>Gs. 3.358.564.830 efectivamente transferidos</w:t>
      </w:r>
      <w:r w:rsidRPr="005A31CA">
        <w:rPr>
          <w:b/>
          <w:bCs/>
          <w:color w:val="000000"/>
          <w:sz w:val="20"/>
          <w:szCs w:val="20"/>
        </w:rPr>
        <w:t> y </w:t>
      </w:r>
      <w:r w:rsidRPr="005A31CA">
        <w:rPr>
          <w:rStyle w:val="Textoennegrita"/>
          <w:rFonts w:eastAsiaTheme="majorEastAsia"/>
          <w:b w:val="0"/>
          <w:bCs w:val="0"/>
          <w:color w:val="000000"/>
          <w:sz w:val="20"/>
          <w:szCs w:val="20"/>
        </w:rPr>
        <w:t>Gs. 1.400.483.670 en proceso de transferencia</w:t>
      </w:r>
      <w:r w:rsidRPr="005A31CA">
        <w:rPr>
          <w:b/>
          <w:bCs/>
          <w:color w:val="000000"/>
          <w:sz w:val="20"/>
          <w:szCs w:val="20"/>
        </w:rPr>
        <w:t>.</w:t>
      </w:r>
    </w:p>
    <w:p w14:paraId="12C2A000" w14:textId="77777777" w:rsidR="00374E4B" w:rsidRPr="0097043E" w:rsidRDefault="00374E4B" w:rsidP="00374E4B">
      <w:pPr>
        <w:pStyle w:val="NormalWeb"/>
        <w:shd w:val="clear" w:color="auto" w:fill="FFFFFF"/>
        <w:spacing w:before="0" w:beforeAutospacing="0" w:after="0" w:afterAutospacing="0"/>
        <w:jc w:val="both"/>
        <w:rPr>
          <w:color w:val="000000"/>
          <w:sz w:val="20"/>
          <w:szCs w:val="20"/>
        </w:rPr>
      </w:pPr>
      <w:r w:rsidRPr="0097043E">
        <w:rPr>
          <w:color w:val="000000"/>
          <w:sz w:val="20"/>
          <w:szCs w:val="20"/>
        </w:rPr>
        <w:t> </w:t>
      </w:r>
    </w:p>
    <w:p w14:paraId="4F80EE60" w14:textId="77777777" w:rsidR="00374E4B" w:rsidRPr="005A31CA" w:rsidRDefault="00374E4B" w:rsidP="00374E4B">
      <w:pPr>
        <w:pStyle w:val="NormalWeb"/>
        <w:shd w:val="clear" w:color="auto" w:fill="FFFFFF"/>
        <w:spacing w:before="0" w:beforeAutospacing="0" w:after="0" w:afterAutospacing="0"/>
        <w:jc w:val="both"/>
        <w:rPr>
          <w:color w:val="000000"/>
          <w:sz w:val="20"/>
          <w:szCs w:val="20"/>
        </w:rPr>
      </w:pPr>
      <w:r w:rsidRPr="0097043E">
        <w:rPr>
          <w:color w:val="000000"/>
          <w:sz w:val="20"/>
          <w:szCs w:val="20"/>
        </w:rPr>
        <w:t>Finalmente, se realizaron </w:t>
      </w:r>
      <w:r w:rsidRPr="005A31CA">
        <w:rPr>
          <w:rStyle w:val="Textoennegrita"/>
          <w:rFonts w:eastAsiaTheme="majorEastAsia"/>
          <w:b w:val="0"/>
          <w:bCs w:val="0"/>
          <w:color w:val="000000"/>
          <w:sz w:val="20"/>
          <w:szCs w:val="20"/>
        </w:rPr>
        <w:t>46 jornadas de capacitación</w:t>
      </w:r>
      <w:r w:rsidRPr="005A31CA">
        <w:rPr>
          <w:b/>
          <w:bCs/>
          <w:color w:val="000000"/>
          <w:sz w:val="20"/>
          <w:szCs w:val="20"/>
        </w:rPr>
        <w:t> </w:t>
      </w:r>
      <w:r w:rsidRPr="005A31CA">
        <w:rPr>
          <w:color w:val="000000"/>
          <w:sz w:val="20"/>
          <w:szCs w:val="20"/>
        </w:rPr>
        <w:t>dirigidas a</w:t>
      </w:r>
      <w:r w:rsidRPr="005A31CA">
        <w:rPr>
          <w:b/>
          <w:bCs/>
          <w:color w:val="000000"/>
          <w:sz w:val="20"/>
          <w:szCs w:val="20"/>
        </w:rPr>
        <w:t> </w:t>
      </w:r>
      <w:r w:rsidRPr="005A31CA">
        <w:rPr>
          <w:rStyle w:val="Textoennegrita"/>
          <w:rFonts w:eastAsiaTheme="majorEastAsia"/>
          <w:b w:val="0"/>
          <w:bCs w:val="0"/>
          <w:color w:val="000000"/>
          <w:sz w:val="20"/>
          <w:szCs w:val="20"/>
        </w:rPr>
        <w:t>922 representantes de Consejos de Salud y personal del MSPyBS</w:t>
      </w:r>
      <w:r w:rsidRPr="005A31CA">
        <w:rPr>
          <w:b/>
          <w:bCs/>
          <w:color w:val="000000"/>
          <w:sz w:val="20"/>
          <w:szCs w:val="20"/>
        </w:rPr>
        <w:t xml:space="preserve">, </w:t>
      </w:r>
      <w:r w:rsidRPr="005A31CA">
        <w:rPr>
          <w:color w:val="000000"/>
          <w:sz w:val="20"/>
          <w:szCs w:val="20"/>
        </w:rPr>
        <w:t>junto con</w:t>
      </w:r>
      <w:r w:rsidRPr="005A31CA">
        <w:rPr>
          <w:b/>
          <w:bCs/>
          <w:color w:val="000000"/>
          <w:sz w:val="20"/>
          <w:szCs w:val="20"/>
        </w:rPr>
        <w:t> </w:t>
      </w:r>
      <w:r w:rsidRPr="005A31CA">
        <w:rPr>
          <w:rStyle w:val="Textoennegrita"/>
          <w:rFonts w:eastAsiaTheme="majorEastAsia"/>
          <w:b w:val="0"/>
          <w:bCs w:val="0"/>
          <w:color w:val="000000"/>
          <w:sz w:val="20"/>
          <w:szCs w:val="20"/>
        </w:rPr>
        <w:t>asistencia técnica permanente</w:t>
      </w:r>
      <w:r w:rsidRPr="005A31CA">
        <w:rPr>
          <w:color w:val="000000"/>
          <w:sz w:val="20"/>
          <w:szCs w:val="20"/>
        </w:rPr>
        <w:t> para la realización de</w:t>
      </w:r>
      <w:r w:rsidRPr="005A31CA">
        <w:rPr>
          <w:b/>
          <w:bCs/>
          <w:color w:val="000000"/>
          <w:sz w:val="20"/>
          <w:szCs w:val="20"/>
        </w:rPr>
        <w:t> </w:t>
      </w:r>
      <w:r w:rsidRPr="005A31CA">
        <w:rPr>
          <w:rStyle w:val="Textoennegrita"/>
          <w:rFonts w:eastAsiaTheme="majorEastAsia"/>
          <w:b w:val="0"/>
          <w:bCs w:val="0"/>
          <w:color w:val="000000"/>
          <w:sz w:val="20"/>
          <w:szCs w:val="20"/>
        </w:rPr>
        <w:t>262 Asambleas ordinarias y de reestructuración</w:t>
      </w:r>
      <w:r w:rsidRPr="005A31CA">
        <w:rPr>
          <w:b/>
          <w:bCs/>
          <w:color w:val="000000"/>
          <w:sz w:val="20"/>
          <w:szCs w:val="20"/>
        </w:rPr>
        <w:t xml:space="preserve">, </w:t>
      </w:r>
      <w:r w:rsidRPr="005A31CA">
        <w:rPr>
          <w:color w:val="000000"/>
          <w:sz w:val="20"/>
          <w:szCs w:val="20"/>
        </w:rPr>
        <w:t>fortaleciendo la gobernanza, la calidad del gasto y la participación social. Pese a los avances alcanzados, persisten</w:t>
      </w:r>
      <w:r w:rsidRPr="005A31CA">
        <w:rPr>
          <w:b/>
          <w:bCs/>
          <w:color w:val="000000"/>
          <w:sz w:val="20"/>
          <w:szCs w:val="20"/>
        </w:rPr>
        <w:t> </w:t>
      </w:r>
      <w:r w:rsidRPr="005A31CA">
        <w:rPr>
          <w:rStyle w:val="Textoennegrita"/>
          <w:rFonts w:eastAsiaTheme="majorEastAsia"/>
          <w:b w:val="0"/>
          <w:bCs w:val="0"/>
          <w:color w:val="000000"/>
          <w:sz w:val="20"/>
          <w:szCs w:val="20"/>
        </w:rPr>
        <w:t>limitaciones externas vinculadas a la disponibilidad del Plan de Caja</w:t>
      </w:r>
      <w:r w:rsidRPr="005A31CA">
        <w:rPr>
          <w:b/>
          <w:bCs/>
          <w:color w:val="000000"/>
          <w:sz w:val="20"/>
          <w:szCs w:val="20"/>
        </w:rPr>
        <w:t xml:space="preserve">, </w:t>
      </w:r>
      <w:r w:rsidRPr="005A31CA">
        <w:rPr>
          <w:color w:val="000000"/>
          <w:sz w:val="20"/>
          <w:szCs w:val="20"/>
        </w:rPr>
        <w:t>ajenas a la competencia institucional.</w:t>
      </w:r>
    </w:p>
    <w:p w14:paraId="2F78D6C7" w14:textId="77777777" w:rsidR="00374E4B" w:rsidRPr="005A31CA" w:rsidRDefault="00374E4B" w:rsidP="00374E4B">
      <w:pPr>
        <w:pStyle w:val="NormalWeb"/>
        <w:shd w:val="clear" w:color="auto" w:fill="FFFFFF"/>
        <w:spacing w:before="0" w:beforeAutospacing="0" w:after="0" w:afterAutospacing="0"/>
        <w:jc w:val="both"/>
        <w:rPr>
          <w:color w:val="000000"/>
          <w:sz w:val="20"/>
          <w:szCs w:val="20"/>
        </w:rPr>
      </w:pPr>
    </w:p>
    <w:p w14:paraId="2045B291" w14:textId="77777777" w:rsidR="00374E4B" w:rsidRPr="0097043E" w:rsidRDefault="00374E4B" w:rsidP="00374E4B">
      <w:pPr>
        <w:pStyle w:val="NormalWeb"/>
        <w:shd w:val="clear" w:color="auto" w:fill="FFFFFF"/>
        <w:spacing w:before="0" w:beforeAutospacing="0" w:after="0" w:afterAutospacing="0"/>
        <w:jc w:val="both"/>
        <w:rPr>
          <w:color w:val="000000"/>
          <w:sz w:val="20"/>
          <w:szCs w:val="20"/>
        </w:rPr>
      </w:pPr>
    </w:p>
    <w:p w14:paraId="2CE0286A" w14:textId="4E1777AE" w:rsidR="00374E4B" w:rsidRPr="00374E4B" w:rsidRDefault="00374E4B" w:rsidP="00374E4B">
      <w:pPr>
        <w:spacing w:before="120" w:after="0" w:line="240" w:lineRule="auto"/>
        <w:jc w:val="both"/>
        <w:rPr>
          <w:b/>
          <w:bCs/>
          <w:szCs w:val="20"/>
          <w:lang w:eastAsia="es-ES"/>
        </w:rPr>
      </w:pPr>
      <w:r w:rsidRPr="00374E4B">
        <w:rPr>
          <w:b/>
          <w:bCs/>
          <w:szCs w:val="20"/>
          <w:lang w:eastAsia="es-ES"/>
        </w:rPr>
        <w:t>INSTITUTO NACIONAL DE SALUD</w:t>
      </w:r>
    </w:p>
    <w:p w14:paraId="2E7B25C7" w14:textId="77777777" w:rsidR="00374E4B" w:rsidRPr="0097043E" w:rsidRDefault="00374E4B" w:rsidP="00374E4B">
      <w:pPr>
        <w:spacing w:line="240" w:lineRule="auto"/>
        <w:jc w:val="both"/>
        <w:rPr>
          <w:b/>
          <w:bCs/>
          <w:lang w:val="es-PY"/>
        </w:rPr>
      </w:pPr>
      <w:r w:rsidRPr="0097043E">
        <w:rPr>
          <w:b/>
          <w:bCs/>
          <w:lang w:val="es-PY"/>
        </w:rPr>
        <w:t>Formación y fortalecimiento del capital humano para el sistema de salud</w:t>
      </w:r>
    </w:p>
    <w:p w14:paraId="456510C5" w14:textId="77777777" w:rsidR="00374E4B" w:rsidRPr="0097043E" w:rsidRDefault="00374E4B" w:rsidP="00374E4B">
      <w:pPr>
        <w:spacing w:line="240" w:lineRule="auto"/>
        <w:jc w:val="both"/>
        <w:rPr>
          <w:lang w:val="es-PY"/>
        </w:rPr>
      </w:pPr>
      <w:r w:rsidRPr="0097043E">
        <w:rPr>
          <w:lang w:val="es-PY"/>
        </w:rPr>
        <w:t xml:space="preserve">Se logró la asignación de 426 pasantes especialistas, distribuidos en todas las regiones sanitarias del país, 18 en Concepción, 34 en Alto Paraná, 80 en Central, 12 en Ñeembucú, 17 en Amambay, 9 en Canindeyú, 7 en Presidente Hayes, 5 en Boquerón, 5 en Alto Paraguay, 20 en Capital, 28 en San Pedro, 21 en Cordillera, 16 en Guairá, 29 en Caaguazú, 31 en Caazapá, 45 en Itapúa, 19 en Misiones y 30 en Paraguarí, contribuyendo a mejorar la cobertura de especialidades críticas y a reducir brechas territoriales en el acceso a servicios de salud especializados. </w:t>
      </w:r>
    </w:p>
    <w:p w14:paraId="5141285D" w14:textId="77777777" w:rsidR="00374E4B" w:rsidRPr="0097043E" w:rsidRDefault="00374E4B" w:rsidP="00374E4B">
      <w:pPr>
        <w:spacing w:line="240" w:lineRule="auto"/>
        <w:jc w:val="both"/>
        <w:rPr>
          <w:lang w:val="es-PY"/>
        </w:rPr>
      </w:pPr>
      <w:r w:rsidRPr="0097043E">
        <w:rPr>
          <w:lang w:val="es-PY"/>
        </w:rPr>
        <w:t>Asimismo, se incrementó un total de 155 plazas para el Concurso de la Comisión Nacional de Residencias Médicas, con un aumento sustantivo respecto al periodo anterior, fortaleciendo la disponibilidad futura de especialistas para el sistema público.</w:t>
      </w:r>
    </w:p>
    <w:p w14:paraId="4BB6469C" w14:textId="77777777" w:rsidR="00374E4B" w:rsidRPr="0097043E" w:rsidRDefault="00374E4B" w:rsidP="00374E4B">
      <w:pPr>
        <w:spacing w:line="240" w:lineRule="auto"/>
        <w:jc w:val="both"/>
        <w:rPr>
          <w:lang w:val="es-PY"/>
        </w:rPr>
      </w:pPr>
      <w:r w:rsidRPr="0097043E">
        <w:rPr>
          <w:lang w:val="es-PY"/>
        </w:rPr>
        <w:t>En materia de aseguramiento de la calidad, 8 Unidades Formadoras fueron licenciadas (Instituto Nacional de Cáncer, Hospital Distrital de Fram, Hospital Distrital de María Auxiliadora, Hospital Regional de IPS de Ciudad del Este, Hospital Regional de Villarrica, Hospital Regional de Pedro Juan Caballero, Centro Médico Nacional – Hospital Nacional, Instituto Codas Thompson), habilitando 11 especialidades, lo que representa un avance concreto en el control de estándares formativos y en la mejora de la calidad de la atención que reciben los usuarios del sistema de salud.</w:t>
      </w:r>
    </w:p>
    <w:p w14:paraId="2ABFABCF" w14:textId="77777777" w:rsidR="00374E4B" w:rsidRPr="0097043E" w:rsidRDefault="00374E4B" w:rsidP="00374E4B">
      <w:pPr>
        <w:spacing w:line="240" w:lineRule="auto"/>
        <w:jc w:val="both"/>
        <w:rPr>
          <w:lang w:val="es-PY"/>
        </w:rPr>
      </w:pPr>
      <w:r w:rsidRPr="0097043E">
        <w:rPr>
          <w:lang w:val="es-PY"/>
        </w:rPr>
        <w:t xml:space="preserve">En el área de formación y de capacitación, se destaca la implementación de programas de formación continua que permitieron capacitar a aproximadamente 2.500 recursos humanos en salud a través de 28 cursos, impactando en competencias técnicas, gerenciales y transversales del personal sanitario, que permitieron fortalecer la capacidad operativa del sistema sanitario nacional, mejorando la cobertura, la calidad de la atención y la gestión de los servicios públicos de salud. </w:t>
      </w:r>
    </w:p>
    <w:p w14:paraId="162EF593" w14:textId="77777777" w:rsidR="00374E4B" w:rsidRPr="0097043E" w:rsidRDefault="00374E4B" w:rsidP="00374E4B">
      <w:pPr>
        <w:spacing w:line="240" w:lineRule="auto"/>
        <w:jc w:val="both"/>
        <w:rPr>
          <w:lang w:val="es-PY"/>
        </w:rPr>
      </w:pPr>
      <w:r w:rsidRPr="0097043E">
        <w:rPr>
          <w:lang w:val="es-PY"/>
        </w:rPr>
        <w:t>Así también se destaca que el programa de Maestría en Salud Pública, del Instituto Nacional de Salud, fue declarado de Interés Institucional por el Programa Nacional de Becas "Carlos Antonio López" (BECAL), lo cual generó el acceso a 10 becas completas.</w:t>
      </w:r>
    </w:p>
    <w:p w14:paraId="228FC5EC" w14:textId="77777777" w:rsidR="00374E4B" w:rsidRPr="0097043E" w:rsidRDefault="00374E4B" w:rsidP="00374E4B">
      <w:pPr>
        <w:spacing w:line="240" w:lineRule="auto"/>
        <w:jc w:val="both"/>
        <w:rPr>
          <w:lang w:val="es-PY"/>
        </w:rPr>
      </w:pPr>
      <w:r w:rsidRPr="0097043E">
        <w:rPr>
          <w:lang w:val="es-PY"/>
        </w:rPr>
        <w:t>El Instituto Nacional de Salud también lideró espacios estratégicos de intercambio académico y generación de conocimiento en la realización del primer “I Congreso Paraguayo de Salud Pública”, que alcanzó a más de 900 participantes en modalidades presencial y virtual, fortaleciendo el debate nacional en torno a los desafíos estructurales del sistema de salud.</w:t>
      </w:r>
    </w:p>
    <w:p w14:paraId="00A8A716" w14:textId="77777777" w:rsidR="00374E4B" w:rsidRPr="0097043E" w:rsidRDefault="00374E4B" w:rsidP="00374E4B">
      <w:pPr>
        <w:spacing w:line="240" w:lineRule="auto"/>
        <w:jc w:val="both"/>
        <w:rPr>
          <w:b/>
          <w:bCs/>
          <w:lang w:val="es-PY"/>
        </w:rPr>
      </w:pPr>
      <w:r w:rsidRPr="0097043E">
        <w:rPr>
          <w:b/>
          <w:bCs/>
          <w:lang w:val="es-PY"/>
        </w:rPr>
        <w:t>Producción de investigación aplicada a problemas prioritarios de salud pública y producción científica y difusión del conocimiento</w:t>
      </w:r>
    </w:p>
    <w:p w14:paraId="611E9AE2" w14:textId="77777777" w:rsidR="00374E4B" w:rsidRPr="0097043E" w:rsidRDefault="00374E4B" w:rsidP="00374E4B">
      <w:pPr>
        <w:spacing w:line="240" w:lineRule="auto"/>
        <w:jc w:val="both"/>
        <w:rPr>
          <w:lang w:val="es-PY"/>
        </w:rPr>
      </w:pPr>
      <w:r w:rsidRPr="005A31CA">
        <w:rPr>
          <w:lang w:val="es-PY"/>
        </w:rPr>
        <w:t xml:space="preserve">Se </w:t>
      </w:r>
      <w:r w:rsidRPr="0097043E">
        <w:rPr>
          <w:lang w:val="es-PY"/>
        </w:rPr>
        <w:t xml:space="preserve">concretó la publicación de 23 artículos científicos en revistas nacionales e internacionales, abordando temas clave como, Mortalidad materna y adolescente, Acceso y cobertura del sistema de salud, Violencia, inequidades y salud mental, Salud sexual y reproductiva, Resistencia a los antibióticos, Determinantes sociales y ambientales de la salud. </w:t>
      </w:r>
    </w:p>
    <w:p w14:paraId="6E28AA2A" w14:textId="77777777" w:rsidR="00374E4B" w:rsidRDefault="00374E4B" w:rsidP="00374E4B">
      <w:pPr>
        <w:spacing w:line="240" w:lineRule="auto"/>
        <w:jc w:val="both"/>
        <w:rPr>
          <w:lang w:val="es-PY"/>
        </w:rPr>
      </w:pPr>
      <w:r w:rsidRPr="0097043E">
        <w:rPr>
          <w:lang w:val="es-PY"/>
        </w:rPr>
        <w:t>Estos artículos que fueron realizados con un enfoque en la calidad metodológica, contribuyeron a fortalecer la credibilidad científica institucional y a posicionar la producción del INS como insumo relevante para la toma de decisiones en el sistema de salud.</w:t>
      </w:r>
    </w:p>
    <w:p w14:paraId="3489DC12" w14:textId="77777777" w:rsidR="00BE2300" w:rsidRDefault="00BE2300" w:rsidP="00374E4B">
      <w:pPr>
        <w:spacing w:line="240" w:lineRule="auto"/>
        <w:jc w:val="both"/>
        <w:rPr>
          <w:lang w:val="es-PY"/>
        </w:rPr>
      </w:pPr>
    </w:p>
    <w:p w14:paraId="6B46E67E" w14:textId="77777777" w:rsidR="00BE2300" w:rsidRDefault="00BE2300" w:rsidP="00374E4B">
      <w:pPr>
        <w:spacing w:line="240" w:lineRule="auto"/>
        <w:jc w:val="both"/>
        <w:rPr>
          <w:lang w:val="es-PY"/>
        </w:rPr>
      </w:pPr>
    </w:p>
    <w:p w14:paraId="5BC87109" w14:textId="77777777" w:rsidR="00BE2300" w:rsidRDefault="00BE2300" w:rsidP="00374E4B">
      <w:pPr>
        <w:spacing w:line="240" w:lineRule="auto"/>
        <w:jc w:val="both"/>
        <w:rPr>
          <w:lang w:val="es-PY"/>
        </w:rPr>
      </w:pPr>
    </w:p>
    <w:p w14:paraId="659C23B6" w14:textId="77777777" w:rsidR="00BE2300" w:rsidRDefault="00BE2300" w:rsidP="00374E4B">
      <w:pPr>
        <w:spacing w:line="240" w:lineRule="auto"/>
        <w:jc w:val="both"/>
        <w:rPr>
          <w:lang w:val="es-PY"/>
        </w:rPr>
      </w:pPr>
    </w:p>
    <w:p w14:paraId="1CDDAC5A" w14:textId="77777777" w:rsidR="00BE2300" w:rsidRPr="0097043E" w:rsidRDefault="00BE2300" w:rsidP="00374E4B">
      <w:pPr>
        <w:spacing w:line="240" w:lineRule="auto"/>
        <w:jc w:val="both"/>
        <w:rPr>
          <w:lang w:val="es-PY"/>
        </w:rPr>
      </w:pPr>
    </w:p>
    <w:p w14:paraId="2914FF4D" w14:textId="77777777" w:rsidR="00374E4B" w:rsidRDefault="00374E4B" w:rsidP="00374E4B">
      <w:pPr>
        <w:spacing w:line="240" w:lineRule="auto"/>
        <w:jc w:val="both"/>
        <w:rPr>
          <w:lang w:val="es-PY"/>
        </w:rPr>
      </w:pPr>
      <w:r w:rsidRPr="0097043E">
        <w:rPr>
          <w:lang w:val="es-PY"/>
        </w:rPr>
        <w:t>Asimismo, se impulsó el fortalecimiento de las residencias médicas mediante capacitaciones específicas en investigación clínica y publicación científica, alcanzando a 43 residentes y tutores. Paralelamente, se brindó acompañamiento metodológico continuo a proyectos desarrollados en cuatro servicios de salud, favoreciendo el desarrollo de investigaciones con potencial de publicación y aplicación práctica.</w:t>
      </w:r>
    </w:p>
    <w:p w14:paraId="2592F222" w14:textId="5DFE6789" w:rsidR="00374E4B" w:rsidRDefault="00374E4B" w:rsidP="00374E4B">
      <w:pPr>
        <w:spacing w:after="0" w:line="240" w:lineRule="auto"/>
        <w:jc w:val="both"/>
        <w:rPr>
          <w:lang w:val="es-PY"/>
        </w:rPr>
      </w:pPr>
      <w:r w:rsidRPr="0097043E">
        <w:rPr>
          <w:lang w:val="es-PY"/>
        </w:rPr>
        <w:t xml:space="preserve">Finalmente, la gestión editorial de la Revista Salud Pública del Paraguay se afianzó como un pilar estratégico de difusión científica, con la publicación de 21 artículos y la gestión de 101 manuscritos durante el año. Este esfuerzo permitió optimizar los procesos editoriales, mejorar los tiempos de respuesta y fortalecer un canal nacional de divulgación del </w:t>
      </w:r>
      <w:r>
        <w:rPr>
          <w:lang w:val="es-PY"/>
        </w:rPr>
        <w:t>conocimiento en salud.</w:t>
      </w:r>
    </w:p>
    <w:p w14:paraId="115FCEEE" w14:textId="77777777" w:rsidR="00374E4B" w:rsidRDefault="00374E4B" w:rsidP="00374E4B">
      <w:pPr>
        <w:spacing w:after="0" w:line="240" w:lineRule="auto"/>
        <w:jc w:val="both"/>
        <w:rPr>
          <w:lang w:val="es-PY"/>
        </w:rPr>
      </w:pPr>
    </w:p>
    <w:p w14:paraId="23924C5E" w14:textId="77777777" w:rsidR="00374E4B" w:rsidRPr="00374E4B" w:rsidRDefault="00374E4B" w:rsidP="00374E4B">
      <w:pPr>
        <w:spacing w:line="240" w:lineRule="auto"/>
        <w:jc w:val="both"/>
        <w:rPr>
          <w:b/>
          <w:bCs/>
          <w:szCs w:val="20"/>
          <w:lang w:eastAsia="es-ES"/>
        </w:rPr>
      </w:pPr>
      <w:r w:rsidRPr="00374E4B">
        <w:rPr>
          <w:b/>
          <w:bCs/>
          <w:szCs w:val="20"/>
          <w:lang w:eastAsia="es-ES"/>
        </w:rPr>
        <w:t>DIRECCIÓN NACIONAL ESTRATÉGICA DE RECURSOS HUMANOS EN SALUD – DNHERS</w:t>
      </w:r>
    </w:p>
    <w:p w14:paraId="3E8865B3" w14:textId="77777777" w:rsidR="00374E4B" w:rsidRDefault="00374E4B" w:rsidP="00374E4B">
      <w:pPr>
        <w:spacing w:after="0" w:line="240" w:lineRule="auto"/>
        <w:jc w:val="both"/>
        <w:rPr>
          <w:rFonts w:eastAsia="MS Mincho"/>
          <w:szCs w:val="20"/>
        </w:rPr>
      </w:pPr>
      <w:hyperlink r:id="rId15" w:tgtFrame="_blank" w:history="1">
        <w:r w:rsidRPr="00775776">
          <w:rPr>
            <w:rFonts w:eastAsia="MS Mincho"/>
            <w:b/>
            <w:bCs/>
            <w:szCs w:val="20"/>
          </w:rPr>
          <w:t>Resolución S.G. N°228/2025</w:t>
        </w:r>
      </w:hyperlink>
      <w:r w:rsidRPr="00775776">
        <w:rPr>
          <w:rFonts w:eastAsia="MS Mincho"/>
          <w:b/>
          <w:bCs/>
          <w:szCs w:val="20"/>
        </w:rPr>
        <w:t xml:space="preserve">, </w:t>
      </w:r>
      <w:r w:rsidRPr="00775776">
        <w:rPr>
          <w:rFonts w:eastAsia="MS Mincho"/>
          <w:szCs w:val="20"/>
        </w:rPr>
        <w:t>Por la cual se dispone la Actualización de la Conformación del Comité Nacional para la Implementación de la Política Nacional de Recursos Humanos en Salud del Paraguay 2020-2030</w:t>
      </w:r>
    </w:p>
    <w:p w14:paraId="11B25CAC" w14:textId="77777777" w:rsidR="00374E4B" w:rsidRDefault="00374E4B" w:rsidP="00374E4B">
      <w:pPr>
        <w:spacing w:after="0" w:line="240" w:lineRule="auto"/>
        <w:jc w:val="both"/>
        <w:rPr>
          <w:rFonts w:eastAsia="MS Mincho"/>
          <w:szCs w:val="20"/>
        </w:rPr>
      </w:pPr>
      <w:r w:rsidRPr="008A0890">
        <w:rPr>
          <w:rFonts w:eastAsia="MS Mincho"/>
          <w:szCs w:val="20"/>
        </w:rPr>
        <w:t>Se llevo a cabo la 7ma.</w:t>
      </w:r>
      <w:r w:rsidRPr="008A0890">
        <w:rPr>
          <w:rFonts w:eastAsia="MS Mincho"/>
          <w:b/>
          <w:bCs/>
          <w:szCs w:val="20"/>
        </w:rPr>
        <w:t xml:space="preserve"> </w:t>
      </w:r>
      <w:r w:rsidRPr="008A0890">
        <w:rPr>
          <w:rFonts w:eastAsia="MS Mincho"/>
          <w:szCs w:val="20"/>
        </w:rPr>
        <w:t>Reunión del Comité Nacional para la implementación de la Política Nacional de Recursos Humanos en Salud el 08 de septiembre del 2025</w:t>
      </w:r>
    </w:p>
    <w:p w14:paraId="0299E165" w14:textId="77777777" w:rsidR="00374E4B" w:rsidRDefault="00374E4B" w:rsidP="00374E4B">
      <w:pPr>
        <w:spacing w:after="0" w:line="240" w:lineRule="auto"/>
        <w:jc w:val="both"/>
        <w:rPr>
          <w:rFonts w:eastAsia="Times New Roman"/>
          <w:szCs w:val="20"/>
          <w:lang w:val="es-PY" w:eastAsia="es-PY"/>
        </w:rPr>
      </w:pPr>
      <w:hyperlink r:id="rId16" w:tgtFrame="_blank" w:history="1">
        <w:r w:rsidRPr="008A0890">
          <w:rPr>
            <w:rFonts w:eastAsia="MS Mincho"/>
            <w:b/>
            <w:bCs/>
            <w:szCs w:val="20"/>
            <w:lang w:val="es-PY" w:eastAsia="es-ES"/>
          </w:rPr>
          <w:t>Resolución S.G. N°563/2025</w:t>
        </w:r>
      </w:hyperlink>
      <w:r w:rsidRPr="008A0890">
        <w:rPr>
          <w:rFonts w:eastAsia="MS Mincho"/>
          <w:b/>
          <w:bCs/>
          <w:szCs w:val="20"/>
          <w:lang w:val="es-PY" w:eastAsia="es-ES"/>
        </w:rPr>
        <w:t xml:space="preserve">, </w:t>
      </w:r>
      <w:r w:rsidRPr="008A0890">
        <w:rPr>
          <w:rFonts w:eastAsia="MS Mincho"/>
          <w:szCs w:val="20"/>
          <w:lang w:val="es-PY" w:eastAsia="es-ES"/>
        </w:rPr>
        <w:t>P</w:t>
      </w:r>
      <w:r w:rsidRPr="008A0890">
        <w:rPr>
          <w:rFonts w:eastAsia="Times New Roman"/>
          <w:szCs w:val="20"/>
          <w:lang w:val="es-PY" w:eastAsia="es-PY"/>
        </w:rPr>
        <w:t>or la cual se unifica la estructura y funcionamiento del comité ejecutivo del catálogo de profesiones del ministerio de salud pública y bienestar social, se aprueba el «reglamento interno del comité ejecutivo del catálogo de profesiones del MSPYBS</w:t>
      </w:r>
    </w:p>
    <w:p w14:paraId="646887ED" w14:textId="77777777" w:rsidR="00374E4B" w:rsidRDefault="00374E4B" w:rsidP="00374E4B">
      <w:pPr>
        <w:spacing w:after="0" w:line="240" w:lineRule="auto"/>
        <w:jc w:val="both"/>
        <w:rPr>
          <w:rFonts w:eastAsia="Times New Roman"/>
          <w:szCs w:val="20"/>
          <w:lang w:val="es-PY" w:eastAsia="es-PY"/>
        </w:rPr>
      </w:pPr>
      <w:hyperlink r:id="rId17" w:tgtFrame="_blank" w:history="1">
        <w:r w:rsidRPr="008A0890">
          <w:rPr>
            <w:rFonts w:eastAsia="Times New Roman"/>
            <w:b/>
            <w:bCs/>
            <w:szCs w:val="20"/>
            <w:lang w:val="es-PY" w:eastAsia="es-ES"/>
          </w:rPr>
          <w:t>Resolución S.G. N° 564/2025</w:t>
        </w:r>
      </w:hyperlink>
      <w:r w:rsidRPr="008A0890">
        <w:rPr>
          <w:rFonts w:eastAsia="Times New Roman"/>
          <w:szCs w:val="20"/>
          <w:lang w:val="es-PY" w:eastAsia="es-ES"/>
        </w:rPr>
        <w:t xml:space="preserve">, </w:t>
      </w:r>
      <w:r w:rsidRPr="008A0890">
        <w:rPr>
          <w:rFonts w:eastAsia="Times New Roman"/>
          <w:szCs w:val="20"/>
          <w:lang w:val="es-PY" w:eastAsia="es-PY"/>
        </w:rPr>
        <w:t>Por la cual se Actualiza el Catálogo de Profesionales del Ministerio de Salud Pública y Bienestar Social</w:t>
      </w:r>
    </w:p>
    <w:p w14:paraId="19337DB2" w14:textId="77777777" w:rsidR="00374E4B" w:rsidRDefault="00374E4B" w:rsidP="00374E4B">
      <w:pPr>
        <w:spacing w:after="0" w:line="240" w:lineRule="auto"/>
        <w:jc w:val="both"/>
        <w:rPr>
          <w:rFonts w:eastAsia="Times New Roman"/>
          <w:szCs w:val="20"/>
          <w:lang w:eastAsia="es-PY"/>
        </w:rPr>
      </w:pPr>
      <w:r w:rsidRPr="008A0890">
        <w:rPr>
          <w:rFonts w:eastAsia="Times New Roman"/>
          <w:b/>
          <w:bCs/>
          <w:szCs w:val="20"/>
          <w:lang w:val="es-PY" w:eastAsia="es-PY"/>
        </w:rPr>
        <w:t>Resolución S.G. N° 630/25,</w:t>
      </w:r>
      <w:r w:rsidRPr="008A0890">
        <w:rPr>
          <w:rFonts w:eastAsia="Times New Roman"/>
          <w:szCs w:val="20"/>
          <w:lang w:val="es-PY" w:eastAsia="es-PY"/>
        </w:rPr>
        <w:t xml:space="preserve"> </w:t>
      </w:r>
      <w:r w:rsidRPr="008A0890">
        <w:rPr>
          <w:rFonts w:eastAsia="Times New Roman"/>
          <w:szCs w:val="20"/>
          <w:lang w:eastAsia="es-PY"/>
        </w:rPr>
        <w:t>por la cual se reconoce la segunda semana de setiembre, como la semana nacional de los Recursos Humanos en Salud.</w:t>
      </w:r>
    </w:p>
    <w:p w14:paraId="6769E409" w14:textId="77777777" w:rsidR="00374E4B" w:rsidRDefault="00374E4B" w:rsidP="00374E4B">
      <w:pPr>
        <w:spacing w:after="0" w:line="240" w:lineRule="auto"/>
        <w:jc w:val="both"/>
        <w:rPr>
          <w:rFonts w:eastAsia="MS Mincho"/>
          <w:szCs w:val="20"/>
        </w:rPr>
      </w:pPr>
      <w:r w:rsidRPr="00F91A36">
        <w:rPr>
          <w:rFonts w:eastAsia="MS Mincho"/>
          <w:b/>
          <w:bCs/>
          <w:szCs w:val="20"/>
        </w:rPr>
        <w:t>Resolución S.G. N.º 265/2025</w:t>
      </w:r>
      <w:r w:rsidRPr="00F91A36">
        <w:rPr>
          <w:rFonts w:eastAsia="MS Mincho"/>
          <w:szCs w:val="20"/>
        </w:rPr>
        <w:t xml:space="preserve">, Por la cual se establece la creación e integración del Comité Técnico Institucional, como instancia especializada responsable de la coordinación y supervisión del proceso de diseño y construcción de la carrera sanitaria. </w:t>
      </w:r>
    </w:p>
    <w:p w14:paraId="645E2D52" w14:textId="77777777" w:rsidR="00374E4B" w:rsidRDefault="00374E4B" w:rsidP="00374E4B">
      <w:pPr>
        <w:spacing w:after="0" w:line="240" w:lineRule="auto"/>
        <w:jc w:val="both"/>
        <w:rPr>
          <w:rFonts w:eastAsia="MS Mincho"/>
          <w:szCs w:val="20"/>
          <w:lang w:val="es-PY" w:eastAsia="es-ES"/>
        </w:rPr>
      </w:pPr>
      <w:r w:rsidRPr="008F609A">
        <w:rPr>
          <w:rFonts w:eastAsia="MS Mincho"/>
          <w:b/>
          <w:bCs/>
          <w:szCs w:val="20"/>
          <w:lang w:val="es-PY" w:eastAsia="es-ES"/>
        </w:rPr>
        <w:t>Resolución S.G. N° 038/25</w:t>
      </w:r>
      <w:r w:rsidRPr="008F609A">
        <w:rPr>
          <w:rFonts w:eastAsia="MS Mincho"/>
          <w:szCs w:val="20"/>
          <w:lang w:val="es-PY" w:eastAsia="es-ES"/>
        </w:rPr>
        <w:t>, Por la cual se Aprueba el Reglamento Interno del Comité Ejecutivo del Observatorio de Recursos Humanos en Salud en el Paraguay</w:t>
      </w:r>
    </w:p>
    <w:p w14:paraId="0BFD8CE4" w14:textId="77777777" w:rsidR="00374E4B" w:rsidRPr="00F91A36" w:rsidRDefault="00374E4B" w:rsidP="00374E4B">
      <w:pPr>
        <w:spacing w:after="0" w:line="240" w:lineRule="auto"/>
        <w:jc w:val="both"/>
        <w:rPr>
          <w:rFonts w:eastAsia="MS Mincho"/>
          <w:szCs w:val="20"/>
        </w:rPr>
      </w:pPr>
    </w:p>
    <w:p w14:paraId="1912C219" w14:textId="77777777" w:rsidR="00374E4B" w:rsidRPr="00374E4B" w:rsidRDefault="00374E4B" w:rsidP="00374E4B">
      <w:pPr>
        <w:spacing w:line="240" w:lineRule="auto"/>
        <w:jc w:val="both"/>
        <w:rPr>
          <w:b/>
          <w:bCs/>
          <w:szCs w:val="20"/>
          <w:lang w:eastAsia="es-ES"/>
        </w:rPr>
      </w:pPr>
      <w:r w:rsidRPr="00374E4B">
        <w:rPr>
          <w:b/>
          <w:bCs/>
          <w:szCs w:val="20"/>
          <w:lang w:eastAsia="es-ES"/>
        </w:rPr>
        <w:t>SERVICIO NACIONAL DE SANEAMIENTO AMBIENTAL -SENASA</w:t>
      </w:r>
    </w:p>
    <w:p w14:paraId="7FAD068E" w14:textId="77777777" w:rsidR="00374E4B" w:rsidRPr="0046368D" w:rsidRDefault="00374E4B" w:rsidP="00374E4B">
      <w:pPr>
        <w:spacing w:after="0" w:line="240" w:lineRule="auto"/>
        <w:jc w:val="both"/>
        <w:rPr>
          <w:szCs w:val="20"/>
          <w:lang w:val="es-PY"/>
        </w:rPr>
      </w:pPr>
      <w:r w:rsidRPr="0046368D">
        <w:rPr>
          <w:szCs w:val="20"/>
          <w:lang w:val="es-PY"/>
        </w:rPr>
        <w:t>Sistemas de Agua y Saneamiento</w:t>
      </w:r>
    </w:p>
    <w:p w14:paraId="2BE16EBF" w14:textId="77777777" w:rsidR="00374E4B" w:rsidRPr="0046368D" w:rsidRDefault="00374E4B" w:rsidP="00374E4B">
      <w:pPr>
        <w:spacing w:after="0" w:line="240" w:lineRule="auto"/>
        <w:jc w:val="both"/>
        <w:rPr>
          <w:szCs w:val="20"/>
          <w:lang w:val="es-PY"/>
        </w:rPr>
      </w:pPr>
      <w:r w:rsidRPr="0046368D">
        <w:rPr>
          <w:szCs w:val="20"/>
          <w:lang w:val="es-PY"/>
        </w:rPr>
        <w:t>Construcción, Mejoramiento, Ampliación y re funcionalización de Sistemas de Agua Potable:</w:t>
      </w:r>
    </w:p>
    <w:p w14:paraId="0262644A" w14:textId="77777777" w:rsidR="00374E4B" w:rsidRPr="0046368D" w:rsidRDefault="00374E4B" w:rsidP="00374E4B">
      <w:pPr>
        <w:spacing w:after="0" w:line="240" w:lineRule="auto"/>
        <w:jc w:val="both"/>
        <w:rPr>
          <w:szCs w:val="20"/>
          <w:lang w:val="es-PY"/>
        </w:rPr>
      </w:pPr>
      <w:r w:rsidRPr="0046368D">
        <w:rPr>
          <w:szCs w:val="20"/>
          <w:lang w:val="es-PY"/>
        </w:rPr>
        <w:t xml:space="preserve">En el ejercicio 2025 se han construido, mejorado, ampliado y re funcionalización de 407 Sistemas, que beneficia a 142.450 personas aproximadamente. </w:t>
      </w:r>
    </w:p>
    <w:p w14:paraId="13AE28A0" w14:textId="77777777" w:rsidR="00374E4B" w:rsidRPr="0046368D" w:rsidRDefault="00374E4B" w:rsidP="00374E4B">
      <w:pPr>
        <w:spacing w:after="0" w:line="240" w:lineRule="auto"/>
        <w:jc w:val="both"/>
        <w:rPr>
          <w:szCs w:val="20"/>
          <w:lang w:val="es-PY"/>
        </w:rPr>
      </w:pPr>
      <w:r w:rsidRPr="0046368D">
        <w:rPr>
          <w:szCs w:val="20"/>
          <w:lang w:val="es-PY"/>
        </w:rPr>
        <w:t xml:space="preserve">Los componentes que forman parte de los sistemas de abastecimiento de agua potable son: (73 pozos profundos, 369 tanques elevados, 114 equipamientos electromecánicos, 350.000 mts. de redes de distribución). </w:t>
      </w:r>
    </w:p>
    <w:p w14:paraId="1B594F62" w14:textId="77777777" w:rsidR="00374E4B" w:rsidRPr="0046368D" w:rsidRDefault="00374E4B" w:rsidP="00374E4B">
      <w:pPr>
        <w:spacing w:after="0" w:line="240" w:lineRule="auto"/>
        <w:jc w:val="both"/>
        <w:rPr>
          <w:szCs w:val="20"/>
          <w:lang w:val="es-PY"/>
        </w:rPr>
      </w:pPr>
      <w:r w:rsidRPr="0046368D">
        <w:rPr>
          <w:szCs w:val="20"/>
          <w:lang w:val="es-PY"/>
        </w:rPr>
        <w:t>Paralelamente, se han llevado a cabo capacitaciones y asistencia técnica especializada para las Juntas de Saneamiento, con un total de 6900 asistencias técnicas (legales, sociales y operativas).</w:t>
      </w:r>
    </w:p>
    <w:p w14:paraId="4C471122" w14:textId="77777777" w:rsidR="00374E4B" w:rsidRPr="00374E4B" w:rsidRDefault="00374E4B" w:rsidP="00374E4B">
      <w:pPr>
        <w:spacing w:after="0" w:line="240" w:lineRule="auto"/>
        <w:jc w:val="both"/>
        <w:rPr>
          <w:sz w:val="10"/>
          <w:szCs w:val="10"/>
          <w:lang w:val="es-PY"/>
        </w:rPr>
      </w:pPr>
    </w:p>
    <w:p w14:paraId="5D691779" w14:textId="77777777" w:rsidR="00374E4B" w:rsidRPr="0046368D" w:rsidRDefault="00374E4B" w:rsidP="00374E4B">
      <w:pPr>
        <w:spacing w:after="0" w:line="240" w:lineRule="auto"/>
        <w:jc w:val="both"/>
        <w:rPr>
          <w:szCs w:val="20"/>
          <w:lang w:val="es-PY"/>
        </w:rPr>
      </w:pPr>
      <w:r w:rsidRPr="0046368D">
        <w:rPr>
          <w:szCs w:val="20"/>
          <w:lang w:val="es-PY"/>
        </w:rPr>
        <w:t>Construcción de Unidades Sanitarias Básicas:</w:t>
      </w:r>
    </w:p>
    <w:p w14:paraId="23B659CC" w14:textId="77777777" w:rsidR="00374E4B" w:rsidRPr="0046368D" w:rsidRDefault="00374E4B" w:rsidP="00374E4B">
      <w:pPr>
        <w:spacing w:after="0" w:line="240" w:lineRule="auto"/>
        <w:jc w:val="both"/>
        <w:rPr>
          <w:szCs w:val="20"/>
          <w:lang w:val="es-PY"/>
        </w:rPr>
      </w:pPr>
      <w:r w:rsidRPr="0046368D">
        <w:rPr>
          <w:szCs w:val="20"/>
          <w:lang w:val="es-PY"/>
        </w:rPr>
        <w:t xml:space="preserve">En el ejercicio 2025 se han concluido 1.189 USB, lo cual representa 4.756 beneficiarios estimados que corresponden a 1.189 hogares. </w:t>
      </w:r>
    </w:p>
    <w:p w14:paraId="259F9C9C" w14:textId="77777777" w:rsidR="00374E4B" w:rsidRPr="0046368D" w:rsidRDefault="00374E4B" w:rsidP="00374E4B">
      <w:pPr>
        <w:spacing w:after="0" w:line="240" w:lineRule="auto"/>
        <w:jc w:val="both"/>
        <w:rPr>
          <w:szCs w:val="20"/>
          <w:lang w:val="es-PY"/>
        </w:rPr>
      </w:pPr>
      <w:r w:rsidRPr="0046368D">
        <w:rPr>
          <w:szCs w:val="20"/>
          <w:lang w:val="es-PY"/>
        </w:rPr>
        <w:t>Paralelamente a la construcción, se han llevado a cabo capacitaciones y asistencia técnica especializada, con un total de 90 eventos realizados y 2.459 participantes.</w:t>
      </w:r>
    </w:p>
    <w:p w14:paraId="7747DAAB" w14:textId="77777777" w:rsidR="00374E4B" w:rsidRPr="0046368D" w:rsidRDefault="00374E4B" w:rsidP="00374E4B">
      <w:pPr>
        <w:spacing w:after="0" w:line="240" w:lineRule="auto"/>
        <w:jc w:val="both"/>
        <w:rPr>
          <w:szCs w:val="20"/>
          <w:lang w:val="es-PY"/>
        </w:rPr>
      </w:pPr>
      <w:r w:rsidRPr="0046368D">
        <w:rPr>
          <w:szCs w:val="20"/>
          <w:lang w:val="es-PY"/>
        </w:rPr>
        <w:t>Obras en Comunidades Indígenas:</w:t>
      </w:r>
    </w:p>
    <w:p w14:paraId="1A9CD5B3" w14:textId="77777777" w:rsidR="00374E4B" w:rsidRDefault="00374E4B" w:rsidP="00374E4B">
      <w:pPr>
        <w:spacing w:after="0" w:line="240" w:lineRule="auto"/>
        <w:jc w:val="both"/>
        <w:rPr>
          <w:szCs w:val="20"/>
          <w:lang w:val="es-PY"/>
        </w:rPr>
      </w:pPr>
      <w:r w:rsidRPr="0046368D">
        <w:rPr>
          <w:szCs w:val="20"/>
          <w:lang w:val="es-PY"/>
        </w:rPr>
        <w:t xml:space="preserve">En el ejercicio 2025 se han construido, mejorado, ampliado y re funcionalización de 68 Sistemas, que beneficia a 10.692 personas aproximadamente. </w:t>
      </w:r>
    </w:p>
    <w:p w14:paraId="7FDB21D4" w14:textId="77777777" w:rsidR="00BE2300" w:rsidRDefault="00BE2300" w:rsidP="00374E4B">
      <w:pPr>
        <w:spacing w:after="0" w:line="240" w:lineRule="auto"/>
        <w:jc w:val="both"/>
        <w:rPr>
          <w:szCs w:val="20"/>
          <w:lang w:val="es-PY"/>
        </w:rPr>
      </w:pPr>
    </w:p>
    <w:p w14:paraId="6A59A092" w14:textId="77777777" w:rsidR="00BE2300" w:rsidRDefault="00BE2300" w:rsidP="00374E4B">
      <w:pPr>
        <w:spacing w:after="0" w:line="240" w:lineRule="auto"/>
        <w:jc w:val="both"/>
        <w:rPr>
          <w:szCs w:val="20"/>
          <w:lang w:val="es-PY"/>
        </w:rPr>
      </w:pPr>
    </w:p>
    <w:p w14:paraId="2B81C8EB" w14:textId="77777777" w:rsidR="00BE2300" w:rsidRDefault="00BE2300" w:rsidP="00374E4B">
      <w:pPr>
        <w:spacing w:after="0" w:line="240" w:lineRule="auto"/>
        <w:jc w:val="both"/>
        <w:rPr>
          <w:szCs w:val="20"/>
          <w:lang w:val="es-PY"/>
        </w:rPr>
      </w:pPr>
    </w:p>
    <w:p w14:paraId="4D7A16FD" w14:textId="77777777" w:rsidR="00BE2300" w:rsidRDefault="00BE2300" w:rsidP="00374E4B">
      <w:pPr>
        <w:spacing w:after="0" w:line="240" w:lineRule="auto"/>
        <w:jc w:val="both"/>
        <w:rPr>
          <w:szCs w:val="20"/>
          <w:lang w:val="es-PY"/>
        </w:rPr>
      </w:pPr>
    </w:p>
    <w:p w14:paraId="698E32ED" w14:textId="77777777" w:rsidR="00BE2300" w:rsidRDefault="00BE2300" w:rsidP="00374E4B">
      <w:pPr>
        <w:spacing w:after="0" w:line="240" w:lineRule="auto"/>
        <w:jc w:val="both"/>
        <w:rPr>
          <w:szCs w:val="20"/>
          <w:lang w:val="es-PY"/>
        </w:rPr>
      </w:pPr>
    </w:p>
    <w:p w14:paraId="541428DE" w14:textId="77777777" w:rsidR="00BE2300" w:rsidRDefault="00BE2300" w:rsidP="00374E4B">
      <w:pPr>
        <w:spacing w:after="0" w:line="240" w:lineRule="auto"/>
        <w:jc w:val="both"/>
        <w:rPr>
          <w:szCs w:val="20"/>
          <w:lang w:val="es-PY"/>
        </w:rPr>
      </w:pPr>
    </w:p>
    <w:p w14:paraId="0FDE0487" w14:textId="77777777" w:rsidR="00BE2300" w:rsidRPr="0046368D" w:rsidRDefault="00BE2300" w:rsidP="00374E4B">
      <w:pPr>
        <w:spacing w:after="0" w:line="240" w:lineRule="auto"/>
        <w:jc w:val="both"/>
        <w:rPr>
          <w:szCs w:val="20"/>
          <w:lang w:val="es-PY"/>
        </w:rPr>
      </w:pPr>
    </w:p>
    <w:p w14:paraId="0DBEE602" w14:textId="77777777" w:rsidR="00374E4B" w:rsidRPr="0046368D" w:rsidRDefault="00374E4B" w:rsidP="00374E4B">
      <w:pPr>
        <w:spacing w:after="0" w:line="240" w:lineRule="auto"/>
        <w:jc w:val="both"/>
        <w:rPr>
          <w:szCs w:val="20"/>
          <w:lang w:val="es-PY"/>
        </w:rPr>
      </w:pPr>
      <w:r w:rsidRPr="0046368D">
        <w:rPr>
          <w:szCs w:val="20"/>
          <w:lang w:val="es-PY"/>
        </w:rPr>
        <w:t>Se encuentra en etapa de funcionamiento las cuatro macro captaciones de agua de lluvia en zona de La Patria (Dpto. Presidente Hayes) y Laguna Negra (Dpto. de Boquerón).</w:t>
      </w:r>
    </w:p>
    <w:p w14:paraId="6F8A941E" w14:textId="77777777" w:rsidR="00374E4B" w:rsidRDefault="00374E4B" w:rsidP="00374E4B">
      <w:pPr>
        <w:spacing w:after="0" w:line="240" w:lineRule="auto"/>
        <w:jc w:val="both"/>
        <w:rPr>
          <w:szCs w:val="20"/>
          <w:lang w:val="es-PY"/>
        </w:rPr>
      </w:pPr>
      <w:r w:rsidRPr="0046368D">
        <w:rPr>
          <w:szCs w:val="20"/>
          <w:lang w:val="es-PY"/>
        </w:rPr>
        <w:t>A su vez, se encuentra en ejecución las obras de construcción de sistemas de abastecimiento por captación de agua de rio en 5 comunidades ribereñas del Departamento de Alto Paraguay que representan 15 aldeas.</w:t>
      </w:r>
    </w:p>
    <w:p w14:paraId="32B6453E" w14:textId="77777777" w:rsidR="00BE2300" w:rsidRPr="00BE2300" w:rsidRDefault="00BE2300" w:rsidP="00374E4B">
      <w:pPr>
        <w:spacing w:after="0" w:line="240" w:lineRule="auto"/>
        <w:jc w:val="both"/>
        <w:rPr>
          <w:sz w:val="10"/>
          <w:szCs w:val="10"/>
          <w:lang w:val="es-PY"/>
        </w:rPr>
      </w:pPr>
    </w:p>
    <w:p w14:paraId="59214523" w14:textId="53605C00" w:rsidR="00374E4B" w:rsidRPr="0046368D" w:rsidRDefault="00374E4B" w:rsidP="00374E4B">
      <w:pPr>
        <w:spacing w:after="0" w:line="240" w:lineRule="auto"/>
        <w:jc w:val="both"/>
        <w:rPr>
          <w:szCs w:val="20"/>
          <w:lang w:val="es-PY"/>
        </w:rPr>
      </w:pPr>
      <w:r w:rsidRPr="0046368D">
        <w:rPr>
          <w:szCs w:val="20"/>
          <w:lang w:val="es-PY"/>
        </w:rPr>
        <w:t>Construcción Sistema de Alcantarillado:</w:t>
      </w:r>
    </w:p>
    <w:p w14:paraId="6C664281" w14:textId="77777777" w:rsidR="00374E4B" w:rsidRPr="0046368D" w:rsidRDefault="00374E4B" w:rsidP="00374E4B">
      <w:pPr>
        <w:spacing w:after="0" w:line="240" w:lineRule="auto"/>
        <w:jc w:val="both"/>
        <w:rPr>
          <w:szCs w:val="20"/>
          <w:lang w:val="es-PY"/>
        </w:rPr>
      </w:pPr>
      <w:r w:rsidRPr="0046368D">
        <w:rPr>
          <w:szCs w:val="20"/>
          <w:lang w:val="es-PY"/>
        </w:rPr>
        <w:t>En virtud al Componente Sistema de Saneamiento, se ha logrado un porcentaje de avance de obras de 100%, del Sistema de Alcantarillado Sanitario en la Ciudad de Iturbe, Departamento de Guairá.</w:t>
      </w:r>
    </w:p>
    <w:p w14:paraId="2A123332" w14:textId="77777777" w:rsidR="00374E4B" w:rsidRPr="0046368D" w:rsidRDefault="00374E4B" w:rsidP="00374E4B">
      <w:pPr>
        <w:spacing w:after="0" w:line="240" w:lineRule="auto"/>
        <w:jc w:val="both"/>
        <w:rPr>
          <w:szCs w:val="20"/>
          <w:lang w:val="es-PY"/>
        </w:rPr>
      </w:pPr>
      <w:r w:rsidRPr="0046368D">
        <w:rPr>
          <w:szCs w:val="20"/>
          <w:lang w:val="es-PY"/>
        </w:rPr>
        <w:t xml:space="preserve">A su vez, se llevan a cabo visitas domiciliarias para las adecuaciones Intradomiciliarias: Alcantarillados de las ciudades de Pirayú, Choré, Yhú, Yaguarón y Yby Yau. </w:t>
      </w:r>
    </w:p>
    <w:p w14:paraId="1742C109" w14:textId="77777777" w:rsidR="00374E4B" w:rsidRPr="00374E4B" w:rsidRDefault="00374E4B" w:rsidP="00374E4B">
      <w:pPr>
        <w:spacing w:after="0" w:line="240" w:lineRule="auto"/>
        <w:jc w:val="both"/>
        <w:rPr>
          <w:sz w:val="10"/>
          <w:szCs w:val="10"/>
          <w:lang w:val="es-PY"/>
        </w:rPr>
      </w:pPr>
    </w:p>
    <w:p w14:paraId="76F42EC3" w14:textId="77777777" w:rsidR="00374E4B" w:rsidRPr="0046368D" w:rsidRDefault="00374E4B" w:rsidP="00374E4B">
      <w:pPr>
        <w:spacing w:after="0" w:line="240" w:lineRule="auto"/>
        <w:jc w:val="both"/>
        <w:rPr>
          <w:szCs w:val="20"/>
          <w:lang w:val="es-PY"/>
        </w:rPr>
      </w:pPr>
      <w:r w:rsidRPr="0046368D">
        <w:rPr>
          <w:szCs w:val="20"/>
          <w:lang w:val="es-PY"/>
        </w:rPr>
        <w:t>Participación en el Programa HAMBRE CERO</w:t>
      </w:r>
    </w:p>
    <w:p w14:paraId="10B2ED66" w14:textId="77777777" w:rsidR="00374E4B" w:rsidRPr="0046368D" w:rsidRDefault="00374E4B" w:rsidP="00374E4B">
      <w:pPr>
        <w:spacing w:after="0" w:line="240" w:lineRule="auto"/>
        <w:jc w:val="both"/>
        <w:rPr>
          <w:szCs w:val="20"/>
          <w:lang w:val="es-PY"/>
        </w:rPr>
      </w:pPr>
      <w:r w:rsidRPr="0046368D">
        <w:rPr>
          <w:szCs w:val="20"/>
          <w:lang w:val="es-PY"/>
        </w:rPr>
        <w:t>En el transcurso de 2025, se realizaron intervenciones en 216 instituciones pertenecientes a la nómina de centros prioritarios, sumadas a 93 instituciones educativas de carácter general.</w:t>
      </w:r>
    </w:p>
    <w:p w14:paraId="3B4A0D97" w14:textId="77777777" w:rsidR="00374E4B" w:rsidRPr="00374E4B" w:rsidRDefault="00374E4B" w:rsidP="00374E4B">
      <w:pPr>
        <w:spacing w:after="0" w:line="240" w:lineRule="auto"/>
        <w:jc w:val="both"/>
        <w:rPr>
          <w:sz w:val="10"/>
          <w:szCs w:val="10"/>
          <w:lang w:val="es-PY"/>
        </w:rPr>
      </w:pPr>
    </w:p>
    <w:p w14:paraId="22F821CA" w14:textId="77777777" w:rsidR="00374E4B" w:rsidRPr="0046368D" w:rsidRDefault="00374E4B" w:rsidP="00374E4B">
      <w:pPr>
        <w:spacing w:after="0" w:line="240" w:lineRule="auto"/>
        <w:jc w:val="both"/>
        <w:rPr>
          <w:szCs w:val="20"/>
          <w:lang w:val="es-PY"/>
        </w:rPr>
      </w:pPr>
      <w:r w:rsidRPr="0046368D">
        <w:rPr>
          <w:szCs w:val="20"/>
          <w:lang w:val="es-PY"/>
        </w:rPr>
        <w:t>Participación del Operativo Caacupé e Itapé</w:t>
      </w:r>
    </w:p>
    <w:p w14:paraId="2435043F" w14:textId="77777777" w:rsidR="00374E4B" w:rsidRPr="0046368D" w:rsidRDefault="00374E4B" w:rsidP="00374E4B">
      <w:pPr>
        <w:spacing w:after="0" w:line="240" w:lineRule="auto"/>
        <w:jc w:val="both"/>
        <w:rPr>
          <w:szCs w:val="20"/>
          <w:lang w:val="es-PY"/>
        </w:rPr>
      </w:pPr>
      <w:r w:rsidRPr="0046368D">
        <w:rPr>
          <w:szCs w:val="20"/>
          <w:lang w:val="es-PY"/>
        </w:rPr>
        <w:t>Operativo Caacupé: Se instalaron 25 puestos de agua y saneamiento a lo largo del trayecto de peregrinación, cubriendo desde el Departamento Central (Capiatá) hasta Caaguazú (Coronel Oviedo). Asimismo, se establecieron puntos de atención en las ciudades de Yaguarón y Pirayú, en el Departamento de Paraguarí.</w:t>
      </w:r>
    </w:p>
    <w:p w14:paraId="20F0B1C4" w14:textId="77777777" w:rsidR="00374E4B" w:rsidRDefault="00374E4B" w:rsidP="00374E4B">
      <w:pPr>
        <w:spacing w:after="0" w:line="240" w:lineRule="auto"/>
        <w:jc w:val="both"/>
        <w:rPr>
          <w:szCs w:val="20"/>
          <w:lang w:val="es-PY"/>
        </w:rPr>
      </w:pPr>
      <w:r w:rsidRPr="0046368D">
        <w:rPr>
          <w:szCs w:val="20"/>
          <w:lang w:val="es-PY"/>
        </w:rPr>
        <w:t>Operativo Itapé: Se habilitaron 5 puestos de agua y saneamiento, distribuidos estratégicamente en las ciudades de Coronel Martínez, Villarrica e Itapé.</w:t>
      </w:r>
    </w:p>
    <w:p w14:paraId="1E0C3675" w14:textId="77777777" w:rsidR="00374E4B" w:rsidRPr="00374E4B" w:rsidRDefault="00374E4B" w:rsidP="00374E4B">
      <w:pPr>
        <w:spacing w:after="0" w:line="240" w:lineRule="auto"/>
        <w:jc w:val="both"/>
        <w:rPr>
          <w:sz w:val="10"/>
          <w:szCs w:val="10"/>
          <w:lang w:val="es-PY"/>
        </w:rPr>
      </w:pPr>
    </w:p>
    <w:p w14:paraId="1AC98D3F" w14:textId="77777777" w:rsidR="00374E4B" w:rsidRDefault="00374E4B" w:rsidP="00374E4B">
      <w:pPr>
        <w:spacing w:after="0" w:line="240" w:lineRule="auto"/>
        <w:jc w:val="both"/>
        <w:rPr>
          <w:szCs w:val="20"/>
          <w:lang w:val="es-PY"/>
        </w:rPr>
      </w:pPr>
      <w:r w:rsidRPr="0046368D">
        <w:rPr>
          <w:szCs w:val="20"/>
          <w:lang w:val="es-PY"/>
        </w:rPr>
        <w:t xml:space="preserve"> Contexto de los Logros:</w:t>
      </w:r>
      <w:r>
        <w:rPr>
          <w:szCs w:val="20"/>
          <w:lang w:val="es-PY"/>
        </w:rPr>
        <w:t xml:space="preserve"> </w:t>
      </w:r>
      <w:r w:rsidRPr="0046368D">
        <w:rPr>
          <w:szCs w:val="20"/>
          <w:lang w:val="es-PY"/>
        </w:rPr>
        <w:t>Las obras y capacitaciones se realizan en comunidades vulnerables dispersas menores a 10.000 habitantes, el objetivo es mejorar la calidad y ampliar el acceso a los servicios de agua y saneamiento en pequeñas ciudades y comunidades rurales e indígenas, promoviendo la sostenibilidad operativa y financiera de los sistemas.</w:t>
      </w:r>
    </w:p>
    <w:p w14:paraId="5821FB52" w14:textId="77777777" w:rsidR="00374E4B" w:rsidRPr="00374E4B" w:rsidRDefault="00374E4B" w:rsidP="00374E4B">
      <w:pPr>
        <w:spacing w:after="0" w:line="240" w:lineRule="auto"/>
        <w:jc w:val="both"/>
        <w:rPr>
          <w:sz w:val="10"/>
          <w:szCs w:val="10"/>
          <w:lang w:val="es-PY"/>
        </w:rPr>
      </w:pPr>
    </w:p>
    <w:p w14:paraId="409E1228" w14:textId="65BCE5D2" w:rsidR="00374E4B" w:rsidRPr="0046368D" w:rsidRDefault="00374E4B" w:rsidP="00374E4B">
      <w:pPr>
        <w:spacing w:after="0" w:line="240" w:lineRule="auto"/>
        <w:jc w:val="both"/>
        <w:rPr>
          <w:szCs w:val="20"/>
          <w:lang w:val="es-PY"/>
        </w:rPr>
      </w:pPr>
      <w:r w:rsidRPr="0046368D">
        <w:rPr>
          <w:szCs w:val="20"/>
          <w:lang w:val="es-PY"/>
        </w:rPr>
        <w:t xml:space="preserve"> SENASA ha logrado avances importantes en sus esfuerzos por ampliar el acceso al agua potable y mejorar la calidad de saneamiento en comunidades vulnerables, rurales e indígenas. Hemos trabajado en conjunto con los comités comunitarios para implementar sistemas de agua en zonas donde este recurso es limitado. </w:t>
      </w:r>
    </w:p>
    <w:p w14:paraId="0B2B4FB7" w14:textId="77777777" w:rsidR="00374E4B" w:rsidRPr="00374E4B" w:rsidRDefault="00374E4B" w:rsidP="00374E4B">
      <w:pPr>
        <w:spacing w:after="0" w:line="240" w:lineRule="auto"/>
        <w:jc w:val="both"/>
        <w:rPr>
          <w:sz w:val="10"/>
          <w:szCs w:val="10"/>
          <w:lang w:val="es-PY"/>
        </w:rPr>
      </w:pPr>
    </w:p>
    <w:p w14:paraId="1FE8EDB1" w14:textId="3BE042E3" w:rsidR="00374E4B" w:rsidRPr="0046368D" w:rsidRDefault="00374E4B" w:rsidP="00374E4B">
      <w:pPr>
        <w:spacing w:after="0" w:line="240" w:lineRule="auto"/>
        <w:jc w:val="both"/>
        <w:rPr>
          <w:szCs w:val="20"/>
          <w:lang w:val="es-PY"/>
        </w:rPr>
      </w:pPr>
      <w:r w:rsidRPr="0046368D">
        <w:rPr>
          <w:szCs w:val="20"/>
          <w:lang w:val="es-PY"/>
        </w:rPr>
        <w:t xml:space="preserve"> Impacto a la Ciudadanía:</w:t>
      </w:r>
      <w:r>
        <w:rPr>
          <w:szCs w:val="20"/>
          <w:lang w:val="es-PY"/>
        </w:rPr>
        <w:t xml:space="preserve"> </w:t>
      </w:r>
      <w:r w:rsidRPr="0046368D">
        <w:rPr>
          <w:szCs w:val="20"/>
          <w:lang w:val="es-PY"/>
        </w:rPr>
        <w:t xml:space="preserve">El proyecto ha generado un impacto significativo en la salud pública y el bienestar social de las comunidades. Al mejorar el acceso a agua potable y servicios de saneamiento, se reduce la incidencia de enfermedades transmitidas por el agua y se promueve un entorno más saludable. </w:t>
      </w:r>
    </w:p>
    <w:p w14:paraId="45F35CF7" w14:textId="77777777" w:rsidR="00374E4B" w:rsidRPr="0046368D" w:rsidRDefault="00374E4B" w:rsidP="00374E4B">
      <w:pPr>
        <w:spacing w:after="0" w:line="240" w:lineRule="auto"/>
        <w:jc w:val="both"/>
        <w:rPr>
          <w:szCs w:val="20"/>
          <w:lang w:val="es-PY"/>
        </w:rPr>
      </w:pPr>
      <w:r w:rsidRPr="0046368D">
        <w:rPr>
          <w:szCs w:val="20"/>
          <w:lang w:val="es-PY"/>
        </w:rPr>
        <w:t>Las capacitaciones han fortalecido el conocimiento de la población sobre prácticas de saneamiento y gestión del agua, lo cual fomenta la sostenibilidad de estos servicios en el largo plazo.</w:t>
      </w:r>
    </w:p>
    <w:p w14:paraId="24425C61" w14:textId="77777777" w:rsidR="00374E4B" w:rsidRDefault="00374E4B" w:rsidP="00374E4B">
      <w:pPr>
        <w:spacing w:after="0" w:line="240" w:lineRule="auto"/>
        <w:jc w:val="both"/>
        <w:rPr>
          <w:szCs w:val="20"/>
          <w:lang w:val="es-PY"/>
        </w:rPr>
      </w:pPr>
      <w:r w:rsidRPr="0046368D">
        <w:rPr>
          <w:szCs w:val="20"/>
          <w:lang w:val="es-PY"/>
        </w:rPr>
        <w:t>El impacto se extiende a la reducción de la vulnerabilidad de estas comunidades a crisis sanitarias y a un mejor aprovechamiento de los recursos hídricos, promoviendo así el desarrollo sostenible en áreas que anteriormente carecían de infraestructura básica.</w:t>
      </w:r>
    </w:p>
    <w:p w14:paraId="20DEB741" w14:textId="77777777" w:rsidR="00374E4B" w:rsidRDefault="00374E4B" w:rsidP="00374E4B">
      <w:pPr>
        <w:spacing w:after="0" w:line="240" w:lineRule="auto"/>
        <w:jc w:val="both"/>
        <w:rPr>
          <w:szCs w:val="20"/>
          <w:lang w:val="es-PY"/>
        </w:rPr>
      </w:pPr>
    </w:p>
    <w:p w14:paraId="1B28ED11" w14:textId="77777777" w:rsidR="00374E4B" w:rsidRPr="00374E4B" w:rsidRDefault="00374E4B" w:rsidP="00374E4B">
      <w:pPr>
        <w:autoSpaceDE w:val="0"/>
        <w:autoSpaceDN w:val="0"/>
        <w:adjustRightInd w:val="0"/>
        <w:spacing w:after="0" w:line="240" w:lineRule="auto"/>
        <w:ind w:right="-766"/>
        <w:jc w:val="both"/>
        <w:rPr>
          <w:b/>
          <w:bCs/>
          <w:szCs w:val="20"/>
          <w:lang w:eastAsia="es-ES"/>
        </w:rPr>
      </w:pPr>
      <w:r w:rsidRPr="00374E4B">
        <w:rPr>
          <w:b/>
          <w:bCs/>
          <w:szCs w:val="20"/>
          <w:lang w:eastAsia="es-ES"/>
        </w:rPr>
        <w:t>DIRECCIÓN GENERAL DE TECNOLOGÍAS DE LA INFORMACIÓN Y COMUNICACIÓN</w:t>
      </w:r>
    </w:p>
    <w:p w14:paraId="0C1B5E59" w14:textId="77777777" w:rsidR="00374E4B" w:rsidRDefault="00374E4B" w:rsidP="00374E4B">
      <w:pPr>
        <w:autoSpaceDE w:val="0"/>
        <w:autoSpaceDN w:val="0"/>
        <w:adjustRightInd w:val="0"/>
        <w:spacing w:after="0" w:line="240" w:lineRule="auto"/>
        <w:ind w:left="284" w:right="-766" w:hanging="568"/>
        <w:jc w:val="both"/>
        <w:rPr>
          <w:rFonts w:eastAsia="Times New Roman"/>
        </w:rPr>
      </w:pPr>
    </w:p>
    <w:p w14:paraId="50453E45" w14:textId="75C51434" w:rsidR="00374E4B" w:rsidRPr="00621FA3" w:rsidRDefault="00374E4B" w:rsidP="00374E4B">
      <w:pPr>
        <w:autoSpaceDE w:val="0"/>
        <w:autoSpaceDN w:val="0"/>
        <w:adjustRightInd w:val="0"/>
        <w:spacing w:after="0" w:line="240" w:lineRule="auto"/>
        <w:ind w:right="-766"/>
        <w:jc w:val="both"/>
        <w:rPr>
          <w:rFonts w:eastAsia="Calibri"/>
          <w:sz w:val="24"/>
          <w:szCs w:val="24"/>
          <w:lang w:val="es-MX"/>
        </w:rPr>
      </w:pPr>
      <w:r w:rsidRPr="00621FA3">
        <w:rPr>
          <w:rFonts w:eastAsia="Times New Roman"/>
        </w:rPr>
        <w:t>Equipamiento e Infraestructura Tecnológica – Hospital General de Coronel Oviedo</w:t>
      </w:r>
      <w:r>
        <w:rPr>
          <w:rFonts w:eastAsia="Times New Roman"/>
        </w:rPr>
        <w:t xml:space="preserve">, </w:t>
      </w:r>
      <w:r>
        <w:rPr>
          <w:rFonts w:eastAsia="Aptos"/>
          <w:lang w:val="es-MX"/>
        </w:rPr>
        <w:t>e</w:t>
      </w:r>
      <w:r w:rsidRPr="00621FA3">
        <w:rPr>
          <w:rFonts w:eastAsia="Aptos"/>
          <w:lang w:val="es-MX"/>
        </w:rPr>
        <w:t>laboración de Especificaciones Técnicas para el llamado a Licitación de Equipamientos TIC, conforme a las necesidades proyectadas</w:t>
      </w:r>
      <w:r>
        <w:rPr>
          <w:rFonts w:eastAsia="Aptos"/>
          <w:lang w:val="es-MX"/>
        </w:rPr>
        <w:t xml:space="preserve"> </w:t>
      </w:r>
      <w:r w:rsidRPr="00621FA3">
        <w:rPr>
          <w:rFonts w:eastAsia="Aptos"/>
          <w:lang w:val="es-MX"/>
        </w:rPr>
        <w:t>para el correcto funcionamiento del HIS y otros sistemas de salud.</w:t>
      </w:r>
    </w:p>
    <w:p w14:paraId="0B72D016" w14:textId="77777777" w:rsidR="00374E4B" w:rsidRPr="00621FA3" w:rsidRDefault="00374E4B" w:rsidP="00374E4B">
      <w:pPr>
        <w:autoSpaceDE w:val="0"/>
        <w:autoSpaceDN w:val="0"/>
        <w:adjustRightInd w:val="0"/>
        <w:spacing w:after="0" w:line="240" w:lineRule="auto"/>
        <w:ind w:right="-766"/>
        <w:jc w:val="both"/>
        <w:rPr>
          <w:rFonts w:eastAsia="Calibri"/>
          <w:sz w:val="24"/>
          <w:szCs w:val="24"/>
        </w:rPr>
      </w:pPr>
      <w:r w:rsidRPr="00621FA3">
        <w:rPr>
          <w:rFonts w:eastAsia="Times New Roman"/>
          <w:lang w:eastAsia="es-PY"/>
        </w:rPr>
        <w:t>Jornadas de capacitación para el uso de herramientas ofimáticas dirigidas al personal administrativo.</w:t>
      </w:r>
    </w:p>
    <w:p w14:paraId="4EA58880" w14:textId="77777777" w:rsidR="00374E4B" w:rsidRPr="00621FA3" w:rsidRDefault="00374E4B" w:rsidP="00374E4B">
      <w:pPr>
        <w:autoSpaceDE w:val="0"/>
        <w:autoSpaceDN w:val="0"/>
        <w:adjustRightInd w:val="0"/>
        <w:spacing w:after="0" w:line="240" w:lineRule="auto"/>
        <w:ind w:left="426" w:right="-766" w:hanging="426"/>
        <w:jc w:val="both"/>
        <w:rPr>
          <w:rFonts w:eastAsia="Calibri"/>
          <w:sz w:val="24"/>
          <w:szCs w:val="24"/>
        </w:rPr>
      </w:pPr>
      <w:r w:rsidRPr="00621FA3">
        <w:rPr>
          <w:rFonts w:eastAsia="Times New Roman"/>
          <w:lang w:eastAsia="es-PY"/>
        </w:rPr>
        <w:t>Capacitación sobre el uso de Correo Institucional, SICAM y SIMESE (Sistema de Mesa de Entrada).</w:t>
      </w:r>
    </w:p>
    <w:p w14:paraId="3F726C4B" w14:textId="77777777" w:rsidR="00374E4B" w:rsidRPr="00621FA3" w:rsidRDefault="00374E4B" w:rsidP="00374E4B">
      <w:pPr>
        <w:autoSpaceDE w:val="0"/>
        <w:autoSpaceDN w:val="0"/>
        <w:adjustRightInd w:val="0"/>
        <w:spacing w:after="0" w:line="240" w:lineRule="auto"/>
        <w:ind w:left="426" w:right="-766" w:hanging="426"/>
        <w:jc w:val="both"/>
        <w:rPr>
          <w:rFonts w:eastAsia="Calibri"/>
          <w:sz w:val="24"/>
          <w:szCs w:val="24"/>
        </w:rPr>
      </w:pPr>
      <w:r w:rsidRPr="00621FA3">
        <w:rPr>
          <w:rFonts w:eastAsia="Times New Roman"/>
          <w:lang w:eastAsia="es-PY"/>
        </w:rPr>
        <w:t>Fortalecimiento Tecnológico – Gran Hospital del Sur (Encarnación)</w:t>
      </w:r>
    </w:p>
    <w:p w14:paraId="64ADA616" w14:textId="53C5E91F" w:rsidR="00374E4B" w:rsidRDefault="00374E4B" w:rsidP="00C61F2F">
      <w:pPr>
        <w:autoSpaceDE w:val="0"/>
        <w:autoSpaceDN w:val="0"/>
        <w:adjustRightInd w:val="0"/>
        <w:spacing w:after="0" w:line="240" w:lineRule="auto"/>
        <w:ind w:right="-766"/>
        <w:jc w:val="both"/>
        <w:rPr>
          <w:rFonts w:eastAsia="Times New Roman"/>
          <w:lang w:eastAsia="es-PY"/>
        </w:rPr>
      </w:pPr>
      <w:r w:rsidRPr="00621FA3">
        <w:rPr>
          <w:rFonts w:eastAsia="Times New Roman"/>
          <w:lang w:eastAsia="es-PY"/>
        </w:rPr>
        <w:t>Elaboración de Especificaciones Técnicas para el llamado a Licitación de Equipamientos TIC, conforme a las necesidades</w:t>
      </w:r>
      <w:r w:rsidR="00C61F2F">
        <w:rPr>
          <w:rFonts w:eastAsia="Times New Roman"/>
          <w:lang w:eastAsia="es-PY"/>
        </w:rPr>
        <w:t xml:space="preserve"> </w:t>
      </w:r>
      <w:r w:rsidRPr="00621FA3">
        <w:rPr>
          <w:rFonts w:eastAsia="Times New Roman"/>
          <w:lang w:eastAsia="es-PY"/>
        </w:rPr>
        <w:t>del Hospital</w:t>
      </w:r>
      <w:r w:rsidR="00C61F2F">
        <w:rPr>
          <w:rFonts w:eastAsia="Times New Roman"/>
          <w:lang w:eastAsia="es-PY"/>
        </w:rPr>
        <w:t xml:space="preserve"> </w:t>
      </w:r>
      <w:r w:rsidRPr="00621FA3">
        <w:rPr>
          <w:rFonts w:eastAsia="Times New Roman"/>
          <w:lang w:eastAsia="es-PY"/>
        </w:rPr>
        <w:t>del Sur.</w:t>
      </w:r>
    </w:p>
    <w:p w14:paraId="14B6CE8F" w14:textId="77777777" w:rsidR="00BE2300" w:rsidRDefault="00BE2300" w:rsidP="00C61F2F">
      <w:pPr>
        <w:autoSpaceDE w:val="0"/>
        <w:autoSpaceDN w:val="0"/>
        <w:adjustRightInd w:val="0"/>
        <w:spacing w:after="0" w:line="240" w:lineRule="auto"/>
        <w:ind w:right="-766"/>
        <w:jc w:val="both"/>
        <w:rPr>
          <w:rFonts w:eastAsia="Times New Roman"/>
          <w:lang w:eastAsia="es-PY"/>
        </w:rPr>
      </w:pPr>
    </w:p>
    <w:p w14:paraId="76961945" w14:textId="77777777" w:rsidR="00BE2300" w:rsidRDefault="00BE2300" w:rsidP="00C61F2F">
      <w:pPr>
        <w:autoSpaceDE w:val="0"/>
        <w:autoSpaceDN w:val="0"/>
        <w:adjustRightInd w:val="0"/>
        <w:spacing w:after="0" w:line="240" w:lineRule="auto"/>
        <w:ind w:right="-766"/>
        <w:jc w:val="both"/>
        <w:rPr>
          <w:rFonts w:eastAsia="Times New Roman"/>
          <w:lang w:eastAsia="es-PY"/>
        </w:rPr>
      </w:pPr>
    </w:p>
    <w:p w14:paraId="7C6B8927" w14:textId="77777777" w:rsidR="00BE2300" w:rsidRDefault="00BE2300" w:rsidP="00C61F2F">
      <w:pPr>
        <w:autoSpaceDE w:val="0"/>
        <w:autoSpaceDN w:val="0"/>
        <w:adjustRightInd w:val="0"/>
        <w:spacing w:after="0" w:line="240" w:lineRule="auto"/>
        <w:ind w:right="-766"/>
        <w:jc w:val="both"/>
        <w:rPr>
          <w:rFonts w:eastAsia="Times New Roman"/>
          <w:lang w:eastAsia="es-PY"/>
        </w:rPr>
      </w:pPr>
    </w:p>
    <w:p w14:paraId="08019DFD" w14:textId="77777777" w:rsidR="00BE2300" w:rsidRDefault="00BE2300" w:rsidP="00C61F2F">
      <w:pPr>
        <w:autoSpaceDE w:val="0"/>
        <w:autoSpaceDN w:val="0"/>
        <w:adjustRightInd w:val="0"/>
        <w:spacing w:after="0" w:line="240" w:lineRule="auto"/>
        <w:ind w:right="-766"/>
        <w:jc w:val="both"/>
        <w:rPr>
          <w:rFonts w:eastAsia="Times New Roman"/>
          <w:lang w:eastAsia="es-PY"/>
        </w:rPr>
      </w:pPr>
    </w:p>
    <w:p w14:paraId="1B92A5CE" w14:textId="77777777" w:rsidR="00BE2300" w:rsidRDefault="00BE2300" w:rsidP="00C61F2F">
      <w:pPr>
        <w:autoSpaceDE w:val="0"/>
        <w:autoSpaceDN w:val="0"/>
        <w:adjustRightInd w:val="0"/>
        <w:spacing w:after="0" w:line="240" w:lineRule="auto"/>
        <w:ind w:right="-766"/>
        <w:jc w:val="both"/>
        <w:rPr>
          <w:rFonts w:eastAsia="Times New Roman"/>
          <w:lang w:eastAsia="es-PY"/>
        </w:rPr>
      </w:pPr>
    </w:p>
    <w:p w14:paraId="78F1AA2F" w14:textId="77777777" w:rsidR="00BE2300" w:rsidRDefault="00BE2300" w:rsidP="00C61F2F">
      <w:pPr>
        <w:autoSpaceDE w:val="0"/>
        <w:autoSpaceDN w:val="0"/>
        <w:adjustRightInd w:val="0"/>
        <w:spacing w:after="0" w:line="240" w:lineRule="auto"/>
        <w:ind w:right="-766"/>
        <w:jc w:val="both"/>
        <w:rPr>
          <w:rFonts w:eastAsia="Times New Roman"/>
          <w:lang w:eastAsia="es-PY"/>
        </w:rPr>
      </w:pPr>
    </w:p>
    <w:p w14:paraId="21E00781" w14:textId="77777777" w:rsidR="00BE2300" w:rsidRPr="00621FA3" w:rsidRDefault="00BE2300" w:rsidP="00C61F2F">
      <w:pPr>
        <w:autoSpaceDE w:val="0"/>
        <w:autoSpaceDN w:val="0"/>
        <w:adjustRightInd w:val="0"/>
        <w:spacing w:after="0" w:line="240" w:lineRule="auto"/>
        <w:ind w:right="-766"/>
        <w:jc w:val="both"/>
        <w:rPr>
          <w:rFonts w:eastAsia="Calibri"/>
          <w:sz w:val="24"/>
          <w:szCs w:val="24"/>
        </w:rPr>
      </w:pPr>
    </w:p>
    <w:p w14:paraId="74C97A59" w14:textId="77777777" w:rsidR="00374E4B" w:rsidRPr="00621FA3" w:rsidRDefault="00374E4B" w:rsidP="00C61F2F">
      <w:pPr>
        <w:autoSpaceDE w:val="0"/>
        <w:autoSpaceDN w:val="0"/>
        <w:adjustRightInd w:val="0"/>
        <w:spacing w:after="0" w:line="240" w:lineRule="auto"/>
        <w:ind w:left="284" w:right="-766" w:hanging="284"/>
        <w:jc w:val="both"/>
        <w:rPr>
          <w:rFonts w:eastAsia="Calibri"/>
          <w:sz w:val="24"/>
          <w:szCs w:val="24"/>
        </w:rPr>
      </w:pPr>
      <w:r w:rsidRPr="00621FA3">
        <w:rPr>
          <w:rFonts w:eastAsia="Times New Roman"/>
          <w:lang w:eastAsia="es-PY"/>
        </w:rPr>
        <w:t>Instalación y puesta en funcionamiento de los Equipamientos TIC en el Hospital del Sur.</w:t>
      </w:r>
    </w:p>
    <w:p w14:paraId="706798CC" w14:textId="77777777" w:rsidR="00374E4B" w:rsidRPr="00621FA3" w:rsidRDefault="00374E4B" w:rsidP="00C61F2F">
      <w:pPr>
        <w:autoSpaceDE w:val="0"/>
        <w:autoSpaceDN w:val="0"/>
        <w:adjustRightInd w:val="0"/>
        <w:spacing w:after="0" w:line="240" w:lineRule="auto"/>
        <w:ind w:left="284" w:right="-766" w:hanging="284"/>
        <w:jc w:val="both"/>
        <w:rPr>
          <w:rFonts w:eastAsia="Calibri"/>
          <w:sz w:val="24"/>
          <w:szCs w:val="24"/>
        </w:rPr>
      </w:pPr>
      <w:r w:rsidRPr="00621FA3">
        <w:rPr>
          <w:rFonts w:eastAsia="Times New Roman"/>
          <w:lang w:eastAsia="es-PY"/>
        </w:rPr>
        <w:t>Acompañamiento Técnico – Futuro Hospital de Curuguaty y Hospital General de Concepción</w:t>
      </w:r>
    </w:p>
    <w:p w14:paraId="515DBCAD" w14:textId="77777777" w:rsidR="00374E4B" w:rsidRPr="00621FA3" w:rsidRDefault="00374E4B" w:rsidP="00C61F2F">
      <w:pPr>
        <w:autoSpaceDE w:val="0"/>
        <w:autoSpaceDN w:val="0"/>
        <w:adjustRightInd w:val="0"/>
        <w:spacing w:after="0" w:line="240" w:lineRule="auto"/>
        <w:ind w:left="284" w:right="-766" w:hanging="284"/>
        <w:jc w:val="both"/>
        <w:rPr>
          <w:rFonts w:eastAsia="Calibri"/>
          <w:sz w:val="24"/>
          <w:szCs w:val="24"/>
        </w:rPr>
      </w:pPr>
      <w:r w:rsidRPr="00621FA3">
        <w:rPr>
          <w:rFonts w:eastAsia="Times New Roman"/>
          <w:lang w:eastAsia="es-PY"/>
        </w:rPr>
        <w:t>Reuniones interinstitucionales y con los consorcios adjudicados para la revisión técnica de los Equipamientos TIC.</w:t>
      </w:r>
    </w:p>
    <w:p w14:paraId="141C0859" w14:textId="77777777" w:rsidR="00374E4B" w:rsidRPr="00621FA3" w:rsidRDefault="00374E4B" w:rsidP="00C61F2F">
      <w:pPr>
        <w:autoSpaceDE w:val="0"/>
        <w:autoSpaceDN w:val="0"/>
        <w:adjustRightInd w:val="0"/>
        <w:spacing w:after="0" w:line="240" w:lineRule="auto"/>
        <w:ind w:left="284" w:right="-766" w:hanging="284"/>
        <w:jc w:val="both"/>
        <w:rPr>
          <w:rFonts w:eastAsia="Calibri"/>
          <w:sz w:val="24"/>
          <w:szCs w:val="24"/>
        </w:rPr>
      </w:pPr>
      <w:r w:rsidRPr="00621FA3">
        <w:rPr>
          <w:rFonts w:eastAsia="Times New Roman"/>
          <w:lang w:eastAsia="es-PY"/>
        </w:rPr>
        <w:t>Gestión de Verificaciones y Evaluaciones Técnicas de Contratos TIC</w:t>
      </w:r>
    </w:p>
    <w:p w14:paraId="49061426" w14:textId="48B353DA" w:rsidR="00374E4B" w:rsidRDefault="00374E4B" w:rsidP="00C61F2F">
      <w:pPr>
        <w:autoSpaceDE w:val="0"/>
        <w:autoSpaceDN w:val="0"/>
        <w:adjustRightInd w:val="0"/>
        <w:spacing w:after="0" w:line="240" w:lineRule="auto"/>
        <w:ind w:right="-766"/>
        <w:jc w:val="both"/>
        <w:rPr>
          <w:rFonts w:eastAsia="Times New Roman"/>
          <w:lang w:eastAsia="es-PY"/>
        </w:rPr>
      </w:pPr>
      <w:r w:rsidRPr="00621FA3">
        <w:rPr>
          <w:rFonts w:eastAsia="Times New Roman"/>
          <w:lang w:eastAsia="es-PY"/>
        </w:rPr>
        <w:t>En el marco de la Resolución S.G. Nº 77/2025 – Lineamientos para la Ejecución del PAC, se realizan</w:t>
      </w:r>
      <w:r w:rsidR="00C61F2F">
        <w:rPr>
          <w:rFonts w:eastAsia="Times New Roman"/>
          <w:lang w:eastAsia="es-PY"/>
        </w:rPr>
        <w:t xml:space="preserve"> c</w:t>
      </w:r>
      <w:r w:rsidRPr="00621FA3">
        <w:rPr>
          <w:rFonts w:eastAsia="Times New Roman"/>
          <w:lang w:eastAsia="es-PY"/>
        </w:rPr>
        <w:t>oordinación con</w:t>
      </w:r>
      <w:r w:rsidR="00C61F2F">
        <w:rPr>
          <w:rFonts w:eastAsia="Times New Roman"/>
          <w:lang w:eastAsia="es-PY"/>
        </w:rPr>
        <w:t xml:space="preserve"> </w:t>
      </w:r>
      <w:r w:rsidRPr="00621FA3">
        <w:rPr>
          <w:rFonts w:eastAsia="Times New Roman"/>
          <w:lang w:eastAsia="es-PY"/>
        </w:rPr>
        <w:t>MITIC</w:t>
      </w:r>
      <w:r w:rsidR="00C61F2F">
        <w:rPr>
          <w:rFonts w:eastAsia="Times New Roman"/>
          <w:lang w:eastAsia="es-PY"/>
        </w:rPr>
        <w:t>.</w:t>
      </w:r>
    </w:p>
    <w:p w14:paraId="226B86D0" w14:textId="77777777" w:rsidR="00C61F2F" w:rsidRPr="00BE2300" w:rsidRDefault="00C61F2F" w:rsidP="00C61F2F">
      <w:pPr>
        <w:autoSpaceDE w:val="0"/>
        <w:autoSpaceDN w:val="0"/>
        <w:adjustRightInd w:val="0"/>
        <w:spacing w:after="0" w:line="240" w:lineRule="auto"/>
        <w:ind w:right="-766"/>
        <w:jc w:val="both"/>
        <w:rPr>
          <w:rFonts w:eastAsia="Times New Roman"/>
          <w:sz w:val="10"/>
          <w:szCs w:val="10"/>
          <w:lang w:eastAsia="es-PY"/>
        </w:rPr>
      </w:pPr>
    </w:p>
    <w:p w14:paraId="093FDD0F" w14:textId="77777777" w:rsidR="00374E4B" w:rsidRPr="00621FA3" w:rsidRDefault="00374E4B" w:rsidP="00C61F2F">
      <w:pPr>
        <w:autoSpaceDE w:val="0"/>
        <w:autoSpaceDN w:val="0"/>
        <w:adjustRightInd w:val="0"/>
        <w:spacing w:after="0" w:line="240" w:lineRule="auto"/>
        <w:ind w:left="284" w:right="-766" w:hanging="284"/>
        <w:jc w:val="both"/>
        <w:rPr>
          <w:rFonts w:eastAsia="Calibri"/>
          <w:sz w:val="24"/>
          <w:szCs w:val="24"/>
        </w:rPr>
      </w:pPr>
      <w:r w:rsidRPr="00621FA3">
        <w:rPr>
          <w:rFonts w:eastAsia="Times New Roman"/>
          <w:lang w:eastAsia="es-PY"/>
        </w:rPr>
        <w:t>Gestión de autorizaciones de compra TIC a través de la Plataforma de Servicios del MITIC.</w:t>
      </w:r>
    </w:p>
    <w:p w14:paraId="72104776" w14:textId="77777777" w:rsidR="00374E4B" w:rsidRPr="00621FA3" w:rsidRDefault="00374E4B" w:rsidP="00C61F2F">
      <w:pPr>
        <w:autoSpaceDE w:val="0"/>
        <w:autoSpaceDN w:val="0"/>
        <w:adjustRightInd w:val="0"/>
        <w:spacing w:after="0" w:line="240" w:lineRule="auto"/>
        <w:ind w:left="284" w:right="-766" w:hanging="284"/>
        <w:jc w:val="both"/>
        <w:rPr>
          <w:rFonts w:eastAsia="Calibri"/>
          <w:sz w:val="24"/>
          <w:szCs w:val="24"/>
        </w:rPr>
      </w:pPr>
      <w:r w:rsidRPr="00621FA3">
        <w:rPr>
          <w:rFonts w:eastAsia="Times New Roman"/>
          <w:lang w:eastAsia="es-PY"/>
        </w:rPr>
        <w:t>Adecuación de Especificaciones Técnicas según observaciones del MITIC para la emisión del Dictamen Técnico.</w:t>
      </w:r>
    </w:p>
    <w:p w14:paraId="759270DA" w14:textId="77777777" w:rsidR="00374E4B" w:rsidRPr="00621FA3" w:rsidRDefault="00374E4B" w:rsidP="00C61F2F">
      <w:pPr>
        <w:autoSpaceDE w:val="0"/>
        <w:autoSpaceDN w:val="0"/>
        <w:adjustRightInd w:val="0"/>
        <w:spacing w:after="0" w:line="240" w:lineRule="auto"/>
        <w:ind w:left="284" w:right="-766" w:hanging="284"/>
        <w:jc w:val="both"/>
        <w:rPr>
          <w:rFonts w:eastAsia="Calibri"/>
          <w:sz w:val="24"/>
          <w:szCs w:val="24"/>
        </w:rPr>
      </w:pPr>
      <w:r w:rsidRPr="00621FA3">
        <w:rPr>
          <w:rFonts w:eastAsia="Times New Roman"/>
          <w:lang w:eastAsia="es-PY"/>
        </w:rPr>
        <w:t>Gestión de modificaciones de estándares TIC para su autorización y posterior llamada a licitación.</w:t>
      </w:r>
    </w:p>
    <w:p w14:paraId="0E00461F" w14:textId="77777777" w:rsidR="00374E4B" w:rsidRPr="00621FA3" w:rsidRDefault="00374E4B" w:rsidP="00C61F2F">
      <w:pPr>
        <w:autoSpaceDE w:val="0"/>
        <w:autoSpaceDN w:val="0"/>
        <w:adjustRightInd w:val="0"/>
        <w:spacing w:after="0" w:line="240" w:lineRule="auto"/>
        <w:ind w:left="284" w:right="-766" w:hanging="284"/>
        <w:jc w:val="both"/>
        <w:rPr>
          <w:rFonts w:eastAsia="Calibri"/>
          <w:sz w:val="24"/>
          <w:szCs w:val="24"/>
        </w:rPr>
      </w:pPr>
      <w:r w:rsidRPr="00621FA3">
        <w:rPr>
          <w:rFonts w:eastAsia="Times New Roman"/>
          <w:lang w:eastAsia="es-PY"/>
        </w:rPr>
        <w:t>Compras TIC y Mejoramiento de Infraestructura Tecnológica – Nivel Central</w:t>
      </w:r>
    </w:p>
    <w:p w14:paraId="3B8ECE88" w14:textId="77777777" w:rsidR="00374E4B" w:rsidRPr="00621FA3" w:rsidRDefault="00374E4B" w:rsidP="00C61F2F">
      <w:pPr>
        <w:autoSpaceDE w:val="0"/>
        <w:autoSpaceDN w:val="0"/>
        <w:adjustRightInd w:val="0"/>
        <w:spacing w:after="0" w:line="240" w:lineRule="auto"/>
        <w:ind w:left="284" w:right="-766" w:hanging="284"/>
        <w:jc w:val="both"/>
        <w:rPr>
          <w:rFonts w:eastAsia="Calibri"/>
          <w:sz w:val="24"/>
          <w:szCs w:val="24"/>
        </w:rPr>
      </w:pPr>
      <w:r w:rsidRPr="00621FA3">
        <w:rPr>
          <w:rFonts w:eastAsia="Times New Roman"/>
          <w:lang w:eastAsia="es-PY"/>
        </w:rPr>
        <w:t>Adquisición de 368 UPS para dependencias del Nivel Central.</w:t>
      </w:r>
    </w:p>
    <w:p w14:paraId="709604E1" w14:textId="77777777" w:rsidR="00374E4B" w:rsidRPr="00621FA3" w:rsidRDefault="00374E4B" w:rsidP="00C61F2F">
      <w:pPr>
        <w:autoSpaceDE w:val="0"/>
        <w:autoSpaceDN w:val="0"/>
        <w:adjustRightInd w:val="0"/>
        <w:spacing w:after="0" w:line="240" w:lineRule="auto"/>
        <w:ind w:left="284" w:right="-766" w:hanging="284"/>
        <w:jc w:val="both"/>
        <w:rPr>
          <w:rFonts w:eastAsia="Calibri"/>
          <w:sz w:val="24"/>
          <w:szCs w:val="24"/>
        </w:rPr>
      </w:pPr>
      <w:r w:rsidRPr="00621FA3">
        <w:rPr>
          <w:rFonts w:eastAsia="Times New Roman"/>
          <w:lang w:eastAsia="es-PY"/>
        </w:rPr>
        <w:t>Distribución e instalación de UPS en las distintas dependencias.</w:t>
      </w:r>
    </w:p>
    <w:p w14:paraId="464624E6" w14:textId="77777777" w:rsidR="00374E4B" w:rsidRPr="00621FA3" w:rsidRDefault="00374E4B" w:rsidP="00C61F2F">
      <w:pPr>
        <w:autoSpaceDE w:val="0"/>
        <w:autoSpaceDN w:val="0"/>
        <w:adjustRightInd w:val="0"/>
        <w:spacing w:after="0" w:line="240" w:lineRule="auto"/>
        <w:ind w:left="284" w:right="-766" w:hanging="284"/>
        <w:jc w:val="both"/>
        <w:rPr>
          <w:rFonts w:eastAsia="Calibri"/>
          <w:sz w:val="24"/>
          <w:szCs w:val="24"/>
        </w:rPr>
      </w:pPr>
      <w:r w:rsidRPr="00621FA3">
        <w:rPr>
          <w:rFonts w:eastAsia="Times New Roman"/>
          <w:lang w:eastAsia="es-PY"/>
        </w:rPr>
        <w:t>Adquisición de 120 Computadoras Personales para el Nivel Central, en coordinación con la Dirección Administrativa.</w:t>
      </w:r>
    </w:p>
    <w:p w14:paraId="0C025A75" w14:textId="77777777" w:rsidR="00374E4B" w:rsidRPr="00621FA3" w:rsidRDefault="00374E4B" w:rsidP="00C61F2F">
      <w:pPr>
        <w:autoSpaceDE w:val="0"/>
        <w:autoSpaceDN w:val="0"/>
        <w:adjustRightInd w:val="0"/>
        <w:spacing w:after="0" w:line="240" w:lineRule="auto"/>
        <w:ind w:left="284" w:right="-766" w:hanging="284"/>
        <w:jc w:val="both"/>
        <w:rPr>
          <w:rFonts w:eastAsia="Calibri"/>
          <w:sz w:val="24"/>
          <w:szCs w:val="24"/>
        </w:rPr>
      </w:pPr>
      <w:r w:rsidRPr="00621FA3">
        <w:rPr>
          <w:rFonts w:eastAsia="Times New Roman"/>
          <w:lang w:eastAsia="es-PY"/>
        </w:rPr>
        <w:t>Recepción y verificación del cumplimiento técnico conforme al PBC.</w:t>
      </w:r>
    </w:p>
    <w:p w14:paraId="5154F83E" w14:textId="77777777" w:rsidR="00374E4B" w:rsidRPr="00621FA3" w:rsidRDefault="00374E4B" w:rsidP="00C61F2F">
      <w:pPr>
        <w:autoSpaceDE w:val="0"/>
        <w:autoSpaceDN w:val="0"/>
        <w:adjustRightInd w:val="0"/>
        <w:spacing w:after="0" w:line="240" w:lineRule="auto"/>
        <w:ind w:left="284" w:right="-766" w:hanging="284"/>
        <w:jc w:val="both"/>
        <w:rPr>
          <w:rFonts w:eastAsia="Calibri"/>
          <w:sz w:val="24"/>
          <w:szCs w:val="24"/>
        </w:rPr>
      </w:pPr>
      <w:r w:rsidRPr="00621FA3">
        <w:rPr>
          <w:rFonts w:eastAsia="Times New Roman"/>
          <w:lang w:eastAsia="es-PY"/>
        </w:rPr>
        <w:t>Implementación y Desarrollo de Herramientas TIC</w:t>
      </w:r>
    </w:p>
    <w:p w14:paraId="145EBD95" w14:textId="77777777" w:rsidR="00C61F2F" w:rsidRDefault="00374E4B" w:rsidP="00C61F2F">
      <w:pPr>
        <w:autoSpaceDE w:val="0"/>
        <w:autoSpaceDN w:val="0"/>
        <w:adjustRightInd w:val="0"/>
        <w:spacing w:after="0" w:line="240" w:lineRule="auto"/>
        <w:ind w:right="-766"/>
        <w:jc w:val="both"/>
      </w:pPr>
      <w:r w:rsidRPr="00621FA3">
        <w:t>Mantenimientos y actualización integral del Portal Institucional:</w:t>
      </w:r>
      <w:r w:rsidR="00C61F2F">
        <w:t xml:space="preserve"> </w:t>
      </w:r>
      <w:r w:rsidRPr="00621FA3">
        <w:t>Se realizaron intervenciones técnicas para la optimización del rendimiento, actualización de contenidos y reorganización estructural</w:t>
      </w:r>
      <w:r w:rsidR="00C61F2F">
        <w:t xml:space="preserve"> </w:t>
      </w:r>
      <w:r w:rsidRPr="00621FA3">
        <w:t xml:space="preserve">del sitio. </w:t>
      </w:r>
    </w:p>
    <w:p w14:paraId="7479E547" w14:textId="2AD3A49C" w:rsidR="00374E4B" w:rsidRPr="00621FA3" w:rsidRDefault="00374E4B" w:rsidP="00C61F2F">
      <w:pPr>
        <w:autoSpaceDE w:val="0"/>
        <w:autoSpaceDN w:val="0"/>
        <w:adjustRightInd w:val="0"/>
        <w:spacing w:after="0" w:line="240" w:lineRule="auto"/>
        <w:ind w:right="-766"/>
        <w:jc w:val="both"/>
        <w:rPr>
          <w:i/>
          <w:iCs/>
        </w:rPr>
      </w:pPr>
      <w:r w:rsidRPr="00621FA3">
        <w:t xml:space="preserve">Se incorporaron secciones informativas clave como </w:t>
      </w:r>
      <w:r w:rsidRPr="00621FA3">
        <w:rPr>
          <w:i/>
          <w:iCs/>
        </w:rPr>
        <w:t>Rendición de Cuentas, FOBARES, Leyes, Inventarios y Avances de</w:t>
      </w:r>
    </w:p>
    <w:p w14:paraId="035DD72C" w14:textId="77777777" w:rsidR="00374E4B" w:rsidRPr="00621FA3" w:rsidRDefault="00374E4B" w:rsidP="00C61F2F">
      <w:pPr>
        <w:autoSpaceDE w:val="0"/>
        <w:autoSpaceDN w:val="0"/>
        <w:adjustRightInd w:val="0"/>
        <w:spacing w:after="0" w:line="240" w:lineRule="auto"/>
        <w:ind w:right="-766"/>
        <w:jc w:val="both"/>
        <w:rPr>
          <w:rFonts w:eastAsia="Calibri"/>
          <w:sz w:val="24"/>
          <w:szCs w:val="24"/>
        </w:rPr>
      </w:pPr>
      <w:r w:rsidRPr="00621FA3">
        <w:rPr>
          <w:i/>
          <w:iCs/>
        </w:rPr>
        <w:t>Gestión</w:t>
      </w:r>
      <w:r w:rsidRPr="00621FA3">
        <w:t>, asegurando el cumplimiento de normativas de transparencia y facilitando el acceso a información pública relevante.</w:t>
      </w:r>
    </w:p>
    <w:p w14:paraId="4214688F" w14:textId="77777777" w:rsidR="00374E4B" w:rsidRPr="00621FA3" w:rsidRDefault="00374E4B" w:rsidP="00C61F2F">
      <w:pPr>
        <w:autoSpaceDE w:val="0"/>
        <w:autoSpaceDN w:val="0"/>
        <w:adjustRightInd w:val="0"/>
        <w:spacing w:after="0" w:line="240" w:lineRule="auto"/>
        <w:ind w:left="284" w:right="-766" w:hanging="284"/>
        <w:jc w:val="both"/>
      </w:pPr>
      <w:r w:rsidRPr="00621FA3">
        <w:t>Creación de nuevas secciones estratégicas:</w:t>
      </w:r>
    </w:p>
    <w:p w14:paraId="683A3195" w14:textId="0C9627AD" w:rsidR="00374E4B" w:rsidRPr="00621FA3" w:rsidRDefault="00374E4B" w:rsidP="00C61F2F">
      <w:pPr>
        <w:autoSpaceDE w:val="0"/>
        <w:autoSpaceDN w:val="0"/>
        <w:adjustRightInd w:val="0"/>
        <w:spacing w:after="0" w:line="240" w:lineRule="auto"/>
        <w:ind w:right="-766"/>
        <w:jc w:val="both"/>
        <w:rPr>
          <w:rFonts w:eastAsia="Calibri"/>
          <w:sz w:val="24"/>
          <w:szCs w:val="24"/>
        </w:rPr>
      </w:pPr>
      <w:r w:rsidRPr="00621FA3">
        <w:t xml:space="preserve">Se desarrollaron e integraron módulos específicos para </w:t>
      </w:r>
      <w:r w:rsidRPr="00621FA3">
        <w:rPr>
          <w:i/>
          <w:iCs/>
        </w:rPr>
        <w:t>Concursos RRHH, MECIP y DIEE</w:t>
      </w:r>
      <w:r w:rsidRPr="00621FA3">
        <w:t>, fortaleciendo la arquitectura informacional</w:t>
      </w:r>
      <w:r w:rsidR="00C61F2F">
        <w:t xml:space="preserve"> </w:t>
      </w:r>
      <w:r w:rsidRPr="00621FA3">
        <w:t>del portal y ampliando la disponibilidad de datos de interés público, con enfoque en transparencia, trazabilidad y mejora de la</w:t>
      </w:r>
      <w:r w:rsidR="00C61F2F">
        <w:t xml:space="preserve"> </w:t>
      </w:r>
      <w:r w:rsidRPr="00621FA3">
        <w:t>experiencia del usuario.</w:t>
      </w:r>
    </w:p>
    <w:p w14:paraId="6CA3EE17" w14:textId="5CB88FA6" w:rsidR="00374E4B" w:rsidRPr="00C61F2F" w:rsidRDefault="00374E4B" w:rsidP="00C61F2F">
      <w:pPr>
        <w:autoSpaceDE w:val="0"/>
        <w:autoSpaceDN w:val="0"/>
        <w:adjustRightInd w:val="0"/>
        <w:spacing w:after="0" w:line="240" w:lineRule="auto"/>
        <w:ind w:right="-766"/>
        <w:jc w:val="both"/>
      </w:pPr>
      <w:r w:rsidRPr="00621FA3">
        <w:t>Actualización permanente de portales de alto impacto:</w:t>
      </w:r>
      <w:r w:rsidR="00C61F2F">
        <w:t xml:space="preserve"> </w:t>
      </w:r>
      <w:r w:rsidRPr="00571EF6">
        <w:t xml:space="preserve">Se efectuó la actualización continua de plataformas prioritarias como </w:t>
      </w:r>
      <w:r w:rsidRPr="00571EF6">
        <w:rPr>
          <w:i/>
          <w:iCs/>
        </w:rPr>
        <w:t>Vacunate, Guía de Cáncer, Políticas Públicas Saludables y</w:t>
      </w:r>
      <w:r w:rsidR="00C61F2F">
        <w:rPr>
          <w:i/>
          <w:iCs/>
        </w:rPr>
        <w:t xml:space="preserve"> </w:t>
      </w:r>
      <w:r w:rsidRPr="00571EF6">
        <w:rPr>
          <w:i/>
          <w:iCs/>
        </w:rPr>
        <w:t>Campañas de Salud</w:t>
      </w:r>
      <w:r w:rsidRPr="00571EF6">
        <w:t>, garantizando contenidos vigentes, funcionamiento estable y acceso oportuno a información sanitaria crítica.</w:t>
      </w:r>
    </w:p>
    <w:p w14:paraId="67F1E8EE" w14:textId="60B21932" w:rsidR="00374E4B" w:rsidRPr="00C61F2F" w:rsidRDefault="00374E4B" w:rsidP="00786519">
      <w:pPr>
        <w:autoSpaceDE w:val="0"/>
        <w:autoSpaceDN w:val="0"/>
        <w:adjustRightInd w:val="0"/>
        <w:spacing w:after="0" w:line="240" w:lineRule="auto"/>
        <w:ind w:right="-766"/>
        <w:rPr>
          <w:rFonts w:eastAsia="Arial"/>
          <w:lang w:eastAsia="es-PY"/>
        </w:rPr>
      </w:pPr>
      <w:r w:rsidRPr="00C61F2F">
        <w:t>Implementación</w:t>
      </w:r>
      <w:r w:rsidR="00C61F2F">
        <w:t xml:space="preserve"> de </w:t>
      </w:r>
      <w:r w:rsidRPr="00C61F2F">
        <w:t>accesos modernos mediante códigos QR</w:t>
      </w:r>
      <w:r w:rsidRPr="00C61F2F">
        <w:br/>
      </w:r>
      <w:r w:rsidRPr="00C61F2F">
        <w:rPr>
          <w:rFonts w:eastAsia="Arial"/>
          <w:lang w:eastAsia="es-PY"/>
        </w:rPr>
        <w:t>Se incorporaron códigos QR para facilitar la consulta rápida de documentos y contenidos institucionales, mejorando la usabilidad, reduciendo tiempos de búsqueda y promoviendo el acceso eficiente desde dispositivos móviles.</w:t>
      </w:r>
    </w:p>
    <w:p w14:paraId="4681E6F9" w14:textId="183DA6EB" w:rsidR="00374E4B" w:rsidRPr="00C61F2F" w:rsidRDefault="00374E4B" w:rsidP="00786519">
      <w:pPr>
        <w:autoSpaceDE w:val="0"/>
        <w:autoSpaceDN w:val="0"/>
        <w:adjustRightInd w:val="0"/>
        <w:spacing w:after="0" w:line="240" w:lineRule="auto"/>
        <w:ind w:right="-766"/>
        <w:rPr>
          <w:rFonts w:eastAsia="Arial"/>
          <w:lang w:eastAsia="es-PY"/>
        </w:rPr>
      </w:pPr>
      <w:r w:rsidRPr="00C61F2F">
        <w:rPr>
          <w:rFonts w:eastAsia="Arial"/>
          <w:lang w:eastAsia="es-PY"/>
        </w:rPr>
        <w:t>Mejoras en el funcionamiento de la Intranet</w:t>
      </w:r>
      <w:r w:rsidRPr="00C61F2F">
        <w:rPr>
          <w:rFonts w:eastAsia="Arial"/>
          <w:lang w:eastAsia="es-PY"/>
        </w:rPr>
        <w:br/>
        <w:t xml:space="preserve">Se implementó el uso de identidad electrónica como mecanismo de autenticación, fortaleciendo la seguridad y la confidencialidad de los datos institucionales. Además, se optimizó el rendimiento general de </w:t>
      </w:r>
      <w:r w:rsidR="00C61F2F" w:rsidRPr="00C61F2F">
        <w:rPr>
          <w:rFonts w:eastAsia="Arial"/>
          <w:lang w:eastAsia="es-PY"/>
        </w:rPr>
        <w:t>la plataforma</w:t>
      </w:r>
      <w:r w:rsidRPr="00C61F2F">
        <w:rPr>
          <w:rFonts w:eastAsia="Arial"/>
          <w:lang w:eastAsia="es-PY"/>
        </w:rPr>
        <w:t>, mejorando la experiencia de los usuarios internos.</w:t>
      </w:r>
    </w:p>
    <w:p w14:paraId="0086C99C" w14:textId="77777777" w:rsidR="00374E4B" w:rsidRPr="00C61F2F" w:rsidRDefault="00374E4B" w:rsidP="00786519">
      <w:pPr>
        <w:autoSpaceDE w:val="0"/>
        <w:autoSpaceDN w:val="0"/>
        <w:adjustRightInd w:val="0"/>
        <w:spacing w:after="0" w:line="240" w:lineRule="auto"/>
        <w:ind w:right="-766"/>
        <w:rPr>
          <w:rFonts w:eastAsia="Arial"/>
          <w:lang w:eastAsia="es-PY"/>
        </w:rPr>
      </w:pPr>
      <w:r w:rsidRPr="00C61F2F">
        <w:rPr>
          <w:rFonts w:eastAsia="Arial"/>
          <w:lang w:eastAsia="es-PY"/>
        </w:rPr>
        <w:t>Módulo de Evaluación de Desempeño</w:t>
      </w:r>
      <w:r w:rsidRPr="00C61F2F">
        <w:rPr>
          <w:rFonts w:eastAsia="Arial"/>
          <w:lang w:eastAsia="es-PY"/>
        </w:rPr>
        <w:br/>
        <w:t>Se incorporaron mejoras al sistema, incluyendo la generación de reportes automatizados para administradores (Recursos Humanos), reduciendo tareas manuales y estandarizando los procesos. Estas mejoras se alinean con la política de papel cero y los lineamientos establecidos por el MITIC, de la reducción de uso del papel.</w:t>
      </w:r>
    </w:p>
    <w:p w14:paraId="4DF10F68" w14:textId="4A7C937B" w:rsidR="00374E4B" w:rsidRDefault="00374E4B" w:rsidP="00786519">
      <w:pPr>
        <w:autoSpaceDE w:val="0"/>
        <w:autoSpaceDN w:val="0"/>
        <w:adjustRightInd w:val="0"/>
        <w:spacing w:after="0" w:line="240" w:lineRule="auto"/>
        <w:ind w:right="-766"/>
        <w:rPr>
          <w:rFonts w:eastAsia="Arial"/>
          <w:lang w:eastAsia="es-PY"/>
        </w:rPr>
      </w:pPr>
      <w:r w:rsidRPr="00C61F2F">
        <w:rPr>
          <w:rFonts w:eastAsia="Arial"/>
          <w:lang w:eastAsia="es-PY"/>
        </w:rPr>
        <w:t>Módulo de</w:t>
      </w:r>
      <w:r w:rsidR="00786519">
        <w:rPr>
          <w:rFonts w:eastAsia="Arial"/>
          <w:lang w:eastAsia="es-PY"/>
        </w:rPr>
        <w:t xml:space="preserve"> </w:t>
      </w:r>
      <w:r w:rsidRPr="00C61F2F">
        <w:rPr>
          <w:rFonts w:eastAsia="Arial"/>
          <w:lang w:eastAsia="es-PY"/>
        </w:rPr>
        <w:t>Clima Laboral</w:t>
      </w:r>
      <w:r w:rsidRPr="00C61F2F">
        <w:rPr>
          <w:rFonts w:eastAsia="Arial"/>
          <w:lang w:eastAsia="es-PY"/>
        </w:rPr>
        <w:br/>
        <w:t>Se desarrolló e integró un nuevo módulo orientado a relevar y analizar indicadores de clima organizacional, completamente digital y alineado igualmente a la filosofía de papel cero (Ley N° 6562/2020, titulada “De la reducción de la utilización de papel en la gestión pública y su reemplazo por el formato digital”.</w:t>
      </w:r>
    </w:p>
    <w:p w14:paraId="7089C4EB" w14:textId="77777777" w:rsidR="00BE2300" w:rsidRDefault="00BE2300" w:rsidP="00786519">
      <w:pPr>
        <w:autoSpaceDE w:val="0"/>
        <w:autoSpaceDN w:val="0"/>
        <w:adjustRightInd w:val="0"/>
        <w:spacing w:after="0" w:line="240" w:lineRule="auto"/>
        <w:ind w:right="-766"/>
        <w:rPr>
          <w:rFonts w:eastAsia="Arial"/>
          <w:lang w:eastAsia="es-PY"/>
        </w:rPr>
      </w:pPr>
    </w:p>
    <w:p w14:paraId="6F683253" w14:textId="77777777" w:rsidR="00BE2300" w:rsidRDefault="00BE2300" w:rsidP="00786519">
      <w:pPr>
        <w:autoSpaceDE w:val="0"/>
        <w:autoSpaceDN w:val="0"/>
        <w:adjustRightInd w:val="0"/>
        <w:spacing w:after="0" w:line="240" w:lineRule="auto"/>
        <w:ind w:right="-766"/>
        <w:rPr>
          <w:rFonts w:eastAsia="Arial"/>
          <w:lang w:eastAsia="es-PY"/>
        </w:rPr>
      </w:pPr>
    </w:p>
    <w:p w14:paraId="6C867441" w14:textId="77777777" w:rsidR="00BE2300" w:rsidRDefault="00BE2300" w:rsidP="00786519">
      <w:pPr>
        <w:autoSpaceDE w:val="0"/>
        <w:autoSpaceDN w:val="0"/>
        <w:adjustRightInd w:val="0"/>
        <w:spacing w:after="0" w:line="240" w:lineRule="auto"/>
        <w:ind w:right="-766"/>
        <w:rPr>
          <w:rFonts w:eastAsia="Arial"/>
          <w:lang w:eastAsia="es-PY"/>
        </w:rPr>
      </w:pPr>
    </w:p>
    <w:p w14:paraId="53E92C54" w14:textId="77777777" w:rsidR="00BE2300" w:rsidRDefault="00BE2300" w:rsidP="00786519">
      <w:pPr>
        <w:autoSpaceDE w:val="0"/>
        <w:autoSpaceDN w:val="0"/>
        <w:adjustRightInd w:val="0"/>
        <w:spacing w:after="0" w:line="240" w:lineRule="auto"/>
        <w:ind w:right="-766"/>
        <w:rPr>
          <w:rFonts w:eastAsia="Arial"/>
          <w:lang w:eastAsia="es-PY"/>
        </w:rPr>
      </w:pPr>
    </w:p>
    <w:p w14:paraId="18B80C01" w14:textId="77777777" w:rsidR="00BE2300" w:rsidRDefault="00BE2300" w:rsidP="00786519">
      <w:pPr>
        <w:autoSpaceDE w:val="0"/>
        <w:autoSpaceDN w:val="0"/>
        <w:adjustRightInd w:val="0"/>
        <w:spacing w:after="0" w:line="240" w:lineRule="auto"/>
        <w:ind w:right="-766"/>
        <w:rPr>
          <w:rFonts w:eastAsia="Arial"/>
          <w:lang w:eastAsia="es-PY"/>
        </w:rPr>
      </w:pPr>
    </w:p>
    <w:p w14:paraId="172E6AF7" w14:textId="77777777" w:rsidR="00BE2300" w:rsidRDefault="00BE2300" w:rsidP="00786519">
      <w:pPr>
        <w:autoSpaceDE w:val="0"/>
        <w:autoSpaceDN w:val="0"/>
        <w:adjustRightInd w:val="0"/>
        <w:spacing w:after="0" w:line="240" w:lineRule="auto"/>
        <w:ind w:right="-766"/>
        <w:rPr>
          <w:rFonts w:eastAsia="Arial"/>
          <w:lang w:eastAsia="es-PY"/>
        </w:rPr>
      </w:pPr>
    </w:p>
    <w:p w14:paraId="6E3D52AD" w14:textId="77777777" w:rsidR="00BE2300" w:rsidRDefault="00BE2300" w:rsidP="00786519">
      <w:pPr>
        <w:autoSpaceDE w:val="0"/>
        <w:autoSpaceDN w:val="0"/>
        <w:adjustRightInd w:val="0"/>
        <w:spacing w:after="0" w:line="240" w:lineRule="auto"/>
        <w:ind w:right="-766"/>
        <w:rPr>
          <w:rFonts w:eastAsia="Arial"/>
          <w:lang w:eastAsia="es-PY"/>
        </w:rPr>
      </w:pPr>
    </w:p>
    <w:p w14:paraId="4160BBD9" w14:textId="77777777" w:rsidR="00BE2300" w:rsidRDefault="00BE2300" w:rsidP="00786519">
      <w:pPr>
        <w:autoSpaceDE w:val="0"/>
        <w:autoSpaceDN w:val="0"/>
        <w:adjustRightInd w:val="0"/>
        <w:spacing w:after="0" w:line="240" w:lineRule="auto"/>
        <w:ind w:right="-766"/>
        <w:rPr>
          <w:rFonts w:eastAsia="Arial"/>
          <w:lang w:eastAsia="es-PY"/>
        </w:rPr>
      </w:pPr>
    </w:p>
    <w:p w14:paraId="7B86266B" w14:textId="77777777" w:rsidR="00BE2300" w:rsidRDefault="00BE2300" w:rsidP="00786519">
      <w:pPr>
        <w:autoSpaceDE w:val="0"/>
        <w:autoSpaceDN w:val="0"/>
        <w:adjustRightInd w:val="0"/>
        <w:spacing w:after="0" w:line="240" w:lineRule="auto"/>
        <w:ind w:right="-766"/>
        <w:rPr>
          <w:rFonts w:eastAsia="Arial"/>
          <w:lang w:eastAsia="es-PY"/>
        </w:rPr>
      </w:pPr>
    </w:p>
    <w:p w14:paraId="24BE20CB" w14:textId="77777777" w:rsidR="00BE2300" w:rsidRDefault="00BE2300" w:rsidP="00786519">
      <w:pPr>
        <w:autoSpaceDE w:val="0"/>
        <w:autoSpaceDN w:val="0"/>
        <w:adjustRightInd w:val="0"/>
        <w:spacing w:after="0" w:line="240" w:lineRule="auto"/>
        <w:ind w:right="-766"/>
        <w:rPr>
          <w:rFonts w:eastAsia="Arial"/>
          <w:lang w:eastAsia="es-PY"/>
        </w:rPr>
      </w:pPr>
    </w:p>
    <w:p w14:paraId="7754DE78" w14:textId="77777777" w:rsidR="00BE2300" w:rsidRDefault="00BE2300" w:rsidP="00786519">
      <w:pPr>
        <w:autoSpaceDE w:val="0"/>
        <w:autoSpaceDN w:val="0"/>
        <w:adjustRightInd w:val="0"/>
        <w:spacing w:after="0" w:line="240" w:lineRule="auto"/>
        <w:ind w:right="-766"/>
        <w:rPr>
          <w:rFonts w:eastAsia="Arial"/>
          <w:lang w:eastAsia="es-PY"/>
        </w:rPr>
      </w:pPr>
    </w:p>
    <w:p w14:paraId="0B92B123" w14:textId="77777777" w:rsidR="00BE2300" w:rsidRPr="00C61F2F" w:rsidRDefault="00BE2300" w:rsidP="00786519">
      <w:pPr>
        <w:autoSpaceDE w:val="0"/>
        <w:autoSpaceDN w:val="0"/>
        <w:adjustRightInd w:val="0"/>
        <w:spacing w:after="0" w:line="240" w:lineRule="auto"/>
        <w:ind w:right="-766"/>
        <w:rPr>
          <w:rFonts w:eastAsia="Arial"/>
          <w:lang w:eastAsia="es-PY"/>
        </w:rPr>
      </w:pPr>
    </w:p>
    <w:p w14:paraId="094A9F64" w14:textId="77777777" w:rsidR="00374E4B" w:rsidRDefault="00374E4B" w:rsidP="00374E4B">
      <w:pPr>
        <w:spacing w:before="120" w:after="0" w:line="240" w:lineRule="auto"/>
        <w:jc w:val="both"/>
        <w:rPr>
          <w:rFonts w:eastAsia="Palatino Linotype"/>
          <w:b/>
          <w:bCs/>
        </w:rPr>
      </w:pPr>
      <w:r w:rsidRPr="00C64F11">
        <w:rPr>
          <w:rFonts w:eastAsia="Palatino Linotype"/>
          <w:b/>
          <w:bCs/>
        </w:rPr>
        <w:t xml:space="preserve">DIRECCIÓN INFRAESTRUCTURA </w:t>
      </w:r>
    </w:p>
    <w:p w14:paraId="0ED17B33" w14:textId="77777777" w:rsidR="00374E4B" w:rsidRDefault="00374E4B" w:rsidP="00374E4B">
      <w:pPr>
        <w:spacing w:before="120" w:after="0" w:line="240" w:lineRule="auto"/>
        <w:jc w:val="both"/>
        <w:rPr>
          <w:rFonts w:eastAsia="Palatino Linotype"/>
          <w:b/>
          <w:bCs/>
        </w:rPr>
      </w:pPr>
      <w:r w:rsidRPr="00C64F11">
        <w:rPr>
          <w:rFonts w:eastAsia="Palatino Linotype"/>
          <w:b/>
          <w:bCs/>
        </w:rPr>
        <w:t>Implementación de Software Libre en la Infraestructura</w:t>
      </w:r>
    </w:p>
    <w:p w14:paraId="15700C07" w14:textId="77777777" w:rsidR="00374E4B" w:rsidRPr="005B2DC7" w:rsidRDefault="00374E4B" w:rsidP="00374E4B">
      <w:pPr>
        <w:spacing w:before="120" w:after="0" w:line="240" w:lineRule="auto"/>
        <w:jc w:val="both"/>
        <w:rPr>
          <w:rFonts w:eastAsia="Palatino Linotype"/>
          <w:b/>
          <w:bCs/>
        </w:rPr>
      </w:pPr>
      <w:r w:rsidRPr="00026200">
        <w:rPr>
          <w:rFonts w:eastAsia="Arial"/>
          <w:lang w:eastAsia="es-PY"/>
        </w:rPr>
        <w:t>Contexto del logro: Al inicio de este periodo</w:t>
      </w:r>
      <w:r w:rsidRPr="00C64F11">
        <w:rPr>
          <w:rFonts w:eastAsia="Palatino Linotype"/>
        </w:rPr>
        <w:t xml:space="preserve"> de gestión, la institución dependía en gran medida de soluciones de software propietarias que implicaban altos costos de licencias y limitaciones en la personalización y escalabilidad. Para abordar estas limitaciones, se tomó la decisión estratégica de migrar y adoptar software libre en diversos aspectos de la infraestructura de TI. Actualmente, la institución ha logrado una integración considerable de soluciones de software libre, mejorando la eficiencia y reduciendo los costos operativos.</w:t>
      </w:r>
    </w:p>
    <w:p w14:paraId="068A1A60" w14:textId="77777777" w:rsidR="00374E4B" w:rsidRDefault="00374E4B" w:rsidP="00374E4B">
      <w:pPr>
        <w:spacing w:before="120" w:after="0" w:line="240" w:lineRule="auto"/>
        <w:jc w:val="both"/>
        <w:rPr>
          <w:rFonts w:eastAsia="Palatino Linotype"/>
        </w:rPr>
      </w:pPr>
      <w:r w:rsidRPr="00C64F11">
        <w:rPr>
          <w:rFonts w:eastAsia="Palatino Linotype"/>
        </w:rPr>
        <w:t>Unidad de medida: La implementación ha abarcado más de 15 sistemas y plataformas críticas, desde herramientas de virtualización como Proxmox hasta sistemas de monitoreo y administración basados en software de código abierto. Esto ha generado un ahorro estimado de USD 100,000 en licencias y costos de mantenimiento anual. La adopción se realizó sin necesidad de aumentar el presupuesto del PGN, aprovechando recursos técnicos internos y programas de capacitación.</w:t>
      </w:r>
    </w:p>
    <w:p w14:paraId="7B228055" w14:textId="77777777" w:rsidR="00374E4B" w:rsidRPr="00C64F11" w:rsidRDefault="00374E4B" w:rsidP="00374E4B">
      <w:pPr>
        <w:spacing w:before="120" w:after="0" w:line="240" w:lineRule="auto"/>
        <w:jc w:val="both"/>
        <w:rPr>
          <w:rFonts w:eastAsia="Palatino Linotype"/>
        </w:rPr>
      </w:pPr>
      <w:r w:rsidRPr="00C64F11">
        <w:rPr>
          <w:rFonts w:eastAsia="Palatino Linotype"/>
        </w:rPr>
        <w:t>Beneficiarios y localidad: Esta implementación beneficia a todos los departamentos y unidades de la institución, mejorando la calidad y disponibilidad de los servicios tecnológicos que utilizan más de 60,000 usuarios internos y externos en todo el país, con especial énfasis en las áreas urbanas de Asunción y otras ciudades principales.</w:t>
      </w:r>
    </w:p>
    <w:p w14:paraId="75A22434" w14:textId="77777777" w:rsidR="00374E4B" w:rsidRPr="00C64F11" w:rsidRDefault="00374E4B" w:rsidP="00374E4B">
      <w:pPr>
        <w:spacing w:before="120" w:after="0" w:line="240" w:lineRule="auto"/>
        <w:jc w:val="both"/>
        <w:rPr>
          <w:rFonts w:eastAsia="Palatino Linotype"/>
        </w:rPr>
      </w:pPr>
      <w:r w:rsidRPr="00C64F11">
        <w:rPr>
          <w:rFonts w:eastAsia="Palatino Linotype"/>
        </w:rPr>
        <w:t>Impacto en la ciudadanía: La adopción de software libre ha permitido a la institución mantener una infraestructura más flexible y robusta, lo que se traduce en servicios más eficientes y confiables para la ciudadanía. Los costos reducidos han liberado recursos que se han podido destinar a otras áreas prioritarias, y la capacidad de personalizar las soluciones ha mejorado la respuesta a las necesidades específicas de la comunidad.</w:t>
      </w:r>
    </w:p>
    <w:p w14:paraId="6853CB4F" w14:textId="77777777" w:rsidR="00374E4B" w:rsidRPr="00C64F11" w:rsidRDefault="00374E4B" w:rsidP="00374E4B">
      <w:pPr>
        <w:spacing w:before="120" w:after="0" w:line="240" w:lineRule="auto"/>
        <w:jc w:val="both"/>
        <w:rPr>
          <w:rFonts w:eastAsia="Palatino Linotype"/>
        </w:rPr>
      </w:pPr>
      <w:r w:rsidRPr="00C64F11">
        <w:rPr>
          <w:rFonts w:eastAsia="Palatino Linotype"/>
        </w:rPr>
        <w:t>Acciones futuras y desafíos institucionales: Se planifica la expansión del uso de software libre en otras áreas críticas de la infraestructura y la capacitación continua del personal para maximizar el aprovechamiento de estas herramientas. Los desafíos incluyen la necesidad de soporte técnico especializado y la actualización constante de las soluciones para mantener la seguridad y eficiencia de los sistemas.</w:t>
      </w:r>
    </w:p>
    <w:p w14:paraId="71AB8F9B" w14:textId="77777777" w:rsidR="00374E4B" w:rsidRPr="00244AAB" w:rsidRDefault="00374E4B" w:rsidP="00374E4B">
      <w:pPr>
        <w:spacing w:after="0" w:line="240" w:lineRule="auto"/>
        <w:jc w:val="both"/>
        <w:rPr>
          <w:rFonts w:eastAsia="Palatino Linotype"/>
          <w:bCs/>
        </w:rPr>
      </w:pPr>
      <w:r w:rsidRPr="00244AAB">
        <w:rPr>
          <w:rFonts w:eastAsia="Palatino Linotype"/>
          <w:bCs/>
        </w:rPr>
        <w:t>Recepción y distribución de Equipos informático e infraestructura a los Establecimientos de Salud donados por el Gobierno de Taiwán para la transformación digital de nuestro sistema de salud.</w:t>
      </w:r>
    </w:p>
    <w:p w14:paraId="5DB11B74" w14:textId="77777777" w:rsidR="00374E4B" w:rsidRPr="00244AAB" w:rsidRDefault="00374E4B" w:rsidP="00374E4B">
      <w:pPr>
        <w:spacing w:line="240" w:lineRule="auto"/>
        <w:jc w:val="both"/>
        <w:rPr>
          <w:rFonts w:eastAsia="Palatino Linotype"/>
          <w:bCs/>
        </w:rPr>
      </w:pPr>
      <w:r w:rsidRPr="00244AAB">
        <w:rPr>
          <w:rFonts w:eastAsia="Palatino Linotype"/>
          <w:bCs/>
        </w:rPr>
        <w:t>Abastecimiento de insumos (cintas y rollos de papel) para las Farmacias que utilizan el sistema HIS en los Establecimientos de Salud del país.</w:t>
      </w:r>
    </w:p>
    <w:p w14:paraId="6E770B94" w14:textId="77777777" w:rsidR="00374E4B" w:rsidRPr="00786519" w:rsidRDefault="00374E4B" w:rsidP="00786519">
      <w:pPr>
        <w:spacing w:after="0" w:line="240" w:lineRule="auto"/>
        <w:jc w:val="both"/>
        <w:rPr>
          <w:b/>
          <w:bCs/>
          <w:szCs w:val="20"/>
          <w:lang w:eastAsia="es-ES"/>
        </w:rPr>
      </w:pPr>
      <w:r w:rsidRPr="00786519">
        <w:rPr>
          <w:b/>
          <w:bCs/>
          <w:szCs w:val="20"/>
          <w:lang w:eastAsia="es-ES"/>
        </w:rPr>
        <w:t>SERVICIO NACIONAL DE ERRADICACIÓN DEL PALUDISMO (SENEPA)</w:t>
      </w:r>
    </w:p>
    <w:p w14:paraId="68040FD2" w14:textId="77777777" w:rsidR="00374E4B" w:rsidRDefault="00374E4B" w:rsidP="00374E4B">
      <w:pPr>
        <w:spacing w:line="240" w:lineRule="auto"/>
        <w:jc w:val="both"/>
        <w:rPr>
          <w:rFonts w:eastAsia="Times New Roman"/>
          <w:color w:val="000000"/>
          <w:szCs w:val="20"/>
          <w:lang w:val="es-PY" w:eastAsia="es-PY"/>
        </w:rPr>
      </w:pPr>
      <w:r>
        <w:rPr>
          <w:szCs w:val="20"/>
        </w:rPr>
        <w:t>El Servicio Nacional de Erradicación del Paludismo (SENEPA), ha ejecutado el Plan Operativo correspondiente al 2do. Semestre 2025, enmarcadas en el Plan Estratégico del MSPBS 2024-2028. Logrando una situación epidemiológica controlada para las enfermedades de transmisión vectorial ETV, manteniéndose el corte de trasmisión vectorial de la enfermedad de Chagas, el país libre de Malaria Autóctona desde el año 2018 y cero casos de Esquistosomiasis. La arbovirosis se encuentra controlada desde la SE 29/2024 a la fecha, prolongándose el periodo interepidémico, lo que representa el resultado de trabajos técnicos satisfactorios, articulados en las 19 zonas operativas del país.</w:t>
      </w:r>
      <w:r>
        <w:rPr>
          <w:rFonts w:eastAsia="Times New Roman"/>
          <w:color w:val="000000"/>
          <w:szCs w:val="20"/>
          <w:lang w:val="es-PY" w:eastAsia="es-PY"/>
        </w:rPr>
        <w:t xml:space="preserve"> La cobertura de distritos en el levantamiento de índice larval, en un 16% respecto al año 2024. La vigilancia malacológica ha ampliado la cobertura de búsqueda en un 75% para el 2025 en relación al 2024. Se ha elaborado el Plan de Contingencia de Fiebre Amarilla 2025-2026, se ha implementado vigilancia entomovirológica a través de pruebas moleculares y logrado importantes avances en la incorporación de nuevas tecnologías de control del</w:t>
      </w:r>
      <w:r>
        <w:rPr>
          <w:rFonts w:eastAsia="Times New Roman"/>
          <w:i/>
          <w:iCs/>
          <w:color w:val="000000"/>
          <w:szCs w:val="20"/>
          <w:lang w:val="es-PY" w:eastAsia="es-PY"/>
        </w:rPr>
        <w:t xml:space="preserve"> Aedes aegyti. </w:t>
      </w:r>
      <w:r>
        <w:rPr>
          <w:rFonts w:eastAsia="Times New Roman"/>
          <w:color w:val="000000"/>
          <w:szCs w:val="20"/>
          <w:lang w:val="es-PY" w:eastAsia="es-PY"/>
        </w:rPr>
        <w:t>Así mismo, luego de 11 años, se ha logrado la des precarización del personal contratado, accediendo a través de un llamado a concurso, calificando 119 recursos humanos, de los cuales 105 desempeñan funciones administrativas/operativos y 14 son profesionales de Blanco.</w:t>
      </w:r>
    </w:p>
    <w:p w14:paraId="0C50AD1F" w14:textId="77777777" w:rsidR="00BE2300" w:rsidRDefault="00BE2300" w:rsidP="00374E4B">
      <w:pPr>
        <w:spacing w:line="240" w:lineRule="auto"/>
        <w:jc w:val="both"/>
        <w:rPr>
          <w:rFonts w:eastAsia="Times New Roman"/>
          <w:color w:val="000000"/>
          <w:szCs w:val="20"/>
          <w:lang w:val="es-PY" w:eastAsia="es-PY"/>
        </w:rPr>
      </w:pPr>
    </w:p>
    <w:p w14:paraId="549C2E8B" w14:textId="77777777" w:rsidR="00BE2300" w:rsidRDefault="00BE2300" w:rsidP="00374E4B">
      <w:pPr>
        <w:spacing w:line="240" w:lineRule="auto"/>
        <w:jc w:val="both"/>
        <w:rPr>
          <w:rFonts w:eastAsia="Times New Roman"/>
          <w:color w:val="000000"/>
          <w:szCs w:val="20"/>
          <w:lang w:val="es-PY" w:eastAsia="es-PY"/>
        </w:rPr>
      </w:pPr>
    </w:p>
    <w:p w14:paraId="054722D7" w14:textId="77777777" w:rsidR="00BE2300" w:rsidRDefault="00BE2300" w:rsidP="00374E4B">
      <w:pPr>
        <w:spacing w:line="240" w:lineRule="auto"/>
        <w:jc w:val="both"/>
        <w:rPr>
          <w:rFonts w:eastAsia="Times New Roman"/>
          <w:color w:val="000000"/>
          <w:szCs w:val="20"/>
          <w:lang w:val="es-PY" w:eastAsia="es-PY"/>
        </w:rPr>
      </w:pPr>
    </w:p>
    <w:p w14:paraId="2BF11AD0" w14:textId="77777777" w:rsidR="00BE2300" w:rsidRDefault="00BE2300" w:rsidP="00374E4B">
      <w:pPr>
        <w:spacing w:line="240" w:lineRule="auto"/>
        <w:jc w:val="both"/>
        <w:rPr>
          <w:szCs w:val="20"/>
          <w:lang w:val="es-PY"/>
        </w:rPr>
      </w:pPr>
    </w:p>
    <w:p w14:paraId="7EDFCA38" w14:textId="77777777" w:rsidR="00374E4B" w:rsidRDefault="00374E4B" w:rsidP="00374E4B">
      <w:pPr>
        <w:spacing w:after="0" w:line="240" w:lineRule="auto"/>
        <w:jc w:val="both"/>
        <w:rPr>
          <w:szCs w:val="20"/>
        </w:rPr>
      </w:pPr>
      <w:r>
        <w:rPr>
          <w:szCs w:val="20"/>
        </w:rPr>
        <w:t>En el abordaje operativo de las líneas estratégicas de prevención, promoción y tratamiento, se han definido indicadores de desempeño con una meta anual de</w:t>
      </w:r>
      <w:r>
        <w:rPr>
          <w:b/>
          <w:bCs/>
          <w:szCs w:val="20"/>
        </w:rPr>
        <w:t xml:space="preserve"> </w:t>
      </w:r>
      <w:r>
        <w:rPr>
          <w:szCs w:val="20"/>
        </w:rPr>
        <w:t>6.974.924</w:t>
      </w:r>
      <w:r>
        <w:rPr>
          <w:b/>
          <w:bCs/>
          <w:szCs w:val="20"/>
        </w:rPr>
        <w:t xml:space="preserve"> </w:t>
      </w:r>
      <w:r>
        <w:rPr>
          <w:szCs w:val="20"/>
        </w:rPr>
        <w:t>actividades para el presente año, ejecutándose</w:t>
      </w:r>
      <w:r>
        <w:rPr>
          <w:szCs w:val="20"/>
          <w:lang w:val="es-PY"/>
        </w:rPr>
        <w:t xml:space="preserve"> </w:t>
      </w:r>
      <w:r>
        <w:rPr>
          <w:szCs w:val="20"/>
        </w:rPr>
        <w:t>al</w:t>
      </w:r>
      <w:r>
        <w:rPr>
          <w:szCs w:val="20"/>
          <w:lang w:val="es-MX"/>
        </w:rPr>
        <w:t xml:space="preserve"> segundo semestre</w:t>
      </w:r>
      <w:r>
        <w:rPr>
          <w:b/>
          <w:bCs/>
          <w:szCs w:val="20"/>
          <w:lang w:val="es-PY"/>
        </w:rPr>
        <w:t xml:space="preserve"> </w:t>
      </w:r>
      <w:r>
        <w:rPr>
          <w:rFonts w:eastAsia="Times New Roman"/>
          <w:color w:val="000000"/>
          <w:szCs w:val="20"/>
          <w:lang w:val="es-PY" w:eastAsia="es-PY"/>
        </w:rPr>
        <w:t>5.</w:t>
      </w:r>
      <w:r>
        <w:rPr>
          <w:rFonts w:eastAsia="Times New Roman"/>
          <w:color w:val="000000"/>
          <w:szCs w:val="20"/>
          <w:lang w:eastAsia="es-PY"/>
        </w:rPr>
        <w:t>620</w:t>
      </w:r>
      <w:r>
        <w:rPr>
          <w:rFonts w:eastAsia="Times New Roman"/>
          <w:color w:val="000000"/>
          <w:szCs w:val="20"/>
          <w:lang w:val="es-PY" w:eastAsia="es-PY"/>
        </w:rPr>
        <w:t>.</w:t>
      </w:r>
      <w:r>
        <w:rPr>
          <w:rFonts w:eastAsia="Times New Roman"/>
          <w:color w:val="000000"/>
          <w:szCs w:val="20"/>
          <w:lang w:eastAsia="es-PY"/>
        </w:rPr>
        <w:t>774</w:t>
      </w:r>
      <w:r>
        <w:rPr>
          <w:rFonts w:eastAsia="Times New Roman"/>
          <w:color w:val="000000"/>
          <w:szCs w:val="20"/>
          <w:lang w:val="es-PY" w:eastAsia="es-PY"/>
        </w:rPr>
        <w:t xml:space="preserve"> </w:t>
      </w:r>
      <w:r>
        <w:rPr>
          <w:szCs w:val="20"/>
        </w:rPr>
        <w:t xml:space="preserve">con un avance anual del 81% en el total de actividades. Se ha abarcado el 100% de los distritos definidos en riesgo 251/251, con </w:t>
      </w:r>
      <w:r>
        <w:rPr>
          <w:rFonts w:eastAsia="Times New Roman"/>
          <w:color w:val="000000"/>
          <w:szCs w:val="20"/>
          <w:lang w:val="es-PY" w:eastAsia="es-PY"/>
        </w:rPr>
        <w:t>1.</w:t>
      </w:r>
      <w:r>
        <w:rPr>
          <w:rFonts w:eastAsia="Times New Roman"/>
          <w:color w:val="000000"/>
          <w:szCs w:val="20"/>
          <w:lang w:eastAsia="es-PY"/>
        </w:rPr>
        <w:t>704</w:t>
      </w:r>
      <w:r>
        <w:rPr>
          <w:rFonts w:eastAsia="Times New Roman"/>
          <w:color w:val="000000"/>
          <w:szCs w:val="20"/>
          <w:lang w:val="es-PY" w:eastAsia="es-PY"/>
        </w:rPr>
        <w:t>.</w:t>
      </w:r>
      <w:r>
        <w:rPr>
          <w:rFonts w:eastAsia="Times New Roman"/>
          <w:color w:val="000000"/>
          <w:szCs w:val="20"/>
          <w:lang w:eastAsia="es-PY"/>
        </w:rPr>
        <w:t>286</w:t>
      </w:r>
      <w:r>
        <w:rPr>
          <w:rFonts w:eastAsia="Times New Roman"/>
          <w:color w:val="000000"/>
          <w:szCs w:val="20"/>
          <w:lang w:val="es-PY" w:eastAsia="es-PY"/>
        </w:rPr>
        <w:t xml:space="preserve"> inmuebles</w:t>
      </w:r>
      <w:r>
        <w:rPr>
          <w:rFonts w:ascii="Calibri" w:eastAsia="Times New Roman" w:hAnsi="Calibri" w:cs="Calibri"/>
          <w:color w:val="000000"/>
          <w:sz w:val="22"/>
          <w:lang w:val="es-PY" w:eastAsia="es-PY"/>
        </w:rPr>
        <w:t xml:space="preserve"> </w:t>
      </w:r>
      <w:r>
        <w:rPr>
          <w:szCs w:val="20"/>
        </w:rPr>
        <w:t xml:space="preserve">intervenidos, de </w:t>
      </w:r>
      <w:r>
        <w:rPr>
          <w:rFonts w:ascii="Arial" w:eastAsia="Times New Roman" w:hAnsi="Arial" w:cs="Arial"/>
          <w:b/>
          <w:bCs/>
          <w:sz w:val="18"/>
          <w:szCs w:val="18"/>
          <w:lang w:val="es-PY" w:eastAsia="es-PY"/>
        </w:rPr>
        <w:t xml:space="preserve">               </w:t>
      </w:r>
      <w:r>
        <w:rPr>
          <w:rFonts w:eastAsia="Times New Roman"/>
          <w:szCs w:val="20"/>
          <w:lang w:val="es-PY" w:eastAsia="es-PY"/>
        </w:rPr>
        <w:t>1.908.375</w:t>
      </w:r>
      <w:r>
        <w:rPr>
          <w:rFonts w:ascii="Arial" w:eastAsia="Times New Roman" w:hAnsi="Arial" w:cs="Arial"/>
          <w:b/>
          <w:bCs/>
          <w:sz w:val="18"/>
          <w:szCs w:val="18"/>
          <w:lang w:val="es-PY" w:eastAsia="es-PY"/>
        </w:rPr>
        <w:t xml:space="preserve"> </w:t>
      </w:r>
      <w:r>
        <w:rPr>
          <w:szCs w:val="20"/>
        </w:rPr>
        <w:t xml:space="preserve">en acciones de control químico y físico, vigilancia e investigación de la presencia de vectores de importancia médica, siendo el avance anual del 89%.  Se brindó asistencia a la población en área de riesgo, beneficiando a </w:t>
      </w:r>
      <w:r>
        <w:rPr>
          <w:rFonts w:eastAsia="Times New Roman"/>
          <w:color w:val="000000"/>
          <w:szCs w:val="20"/>
          <w:lang w:val="es-PY" w:eastAsia="es-PY"/>
        </w:rPr>
        <w:t>3.</w:t>
      </w:r>
      <w:r>
        <w:rPr>
          <w:rFonts w:eastAsia="Times New Roman"/>
          <w:color w:val="000000"/>
          <w:szCs w:val="20"/>
          <w:lang w:eastAsia="es-PY"/>
        </w:rPr>
        <w:t>915.751</w:t>
      </w:r>
      <w:r>
        <w:rPr>
          <w:rFonts w:ascii="Calibri" w:eastAsia="Times New Roman" w:hAnsi="Calibri" w:cs="Calibri"/>
          <w:color w:val="000000"/>
          <w:sz w:val="22"/>
          <w:lang w:val="es-PY" w:eastAsia="es-PY"/>
        </w:rPr>
        <w:t xml:space="preserve"> </w:t>
      </w:r>
      <w:r>
        <w:rPr>
          <w:szCs w:val="20"/>
        </w:rPr>
        <w:t xml:space="preserve">personas, logrando 77% de </w:t>
      </w:r>
      <w:r>
        <w:rPr>
          <w:rFonts w:eastAsia="Times New Roman"/>
          <w:szCs w:val="20"/>
          <w:lang w:val="es-PY" w:eastAsia="es-PY"/>
        </w:rPr>
        <w:t>1.908.375</w:t>
      </w:r>
      <w:r>
        <w:rPr>
          <w:rFonts w:ascii="Arial" w:eastAsia="Times New Roman" w:hAnsi="Arial" w:cs="Arial"/>
          <w:b/>
          <w:bCs/>
          <w:sz w:val="18"/>
          <w:szCs w:val="18"/>
          <w:lang w:val="es-PY" w:eastAsia="es-PY"/>
        </w:rPr>
        <w:t xml:space="preserve"> </w:t>
      </w:r>
      <w:r>
        <w:rPr>
          <w:rFonts w:eastAsia="Times New Roman"/>
          <w:szCs w:val="20"/>
          <w:lang w:val="es-PY" w:eastAsia="es-PY"/>
        </w:rPr>
        <w:t>como meta anual.</w:t>
      </w:r>
      <w:r>
        <w:rPr>
          <w:szCs w:val="20"/>
        </w:rPr>
        <w:t xml:space="preserve"> En cobertura de medicamentos para Chagas, Malaria, Leishmaniosis se avanzó un 73 %, con 486 tratamientos de los 663 previstos. Se han realizado actividades de información, capacitación y educación a 239.928 personas, en instituciones públicas y privadas de salud, comunidad educativa, otros y en capacitación e inducción a recursos humanos del SENEPA.; entregando 125.506 materiales educativos y protocolos de manejo clínico. Aunque se han incorporado sigue siendo limitado el talento humano para las intervenciones de campo, situación que se sobrelleva con apoyo interinstitucional, municipalidades, etc., para controlar los brotes de arbovirosis. Así mismo, aunque se ha incrementado y levantado la flota vehicular, sigue siendo insuficiente para dar cobertura al territorio nacional. El monto de los recursos aplicados para el logro de los resultados obtenidos es del 120.395.395.349 guaraníes, que representa una ejecución presupuestaria del 67% de un total de 195.201.118.068 Gs., asignado para el ejercicio fiscal 2025. </w:t>
      </w:r>
    </w:p>
    <w:p w14:paraId="27EBFCCB" w14:textId="77777777" w:rsidR="00786519" w:rsidRDefault="00786519" w:rsidP="00374E4B">
      <w:pPr>
        <w:spacing w:after="0" w:line="240" w:lineRule="auto"/>
        <w:jc w:val="both"/>
        <w:rPr>
          <w:szCs w:val="20"/>
        </w:rPr>
      </w:pPr>
    </w:p>
    <w:p w14:paraId="2B62D180" w14:textId="77777777" w:rsidR="00374E4B" w:rsidRPr="00786519" w:rsidRDefault="00374E4B" w:rsidP="00786519">
      <w:pPr>
        <w:spacing w:after="0" w:line="240" w:lineRule="auto"/>
        <w:jc w:val="both"/>
        <w:rPr>
          <w:b/>
          <w:bCs/>
          <w:szCs w:val="20"/>
          <w:lang w:eastAsia="es-ES"/>
        </w:rPr>
      </w:pPr>
      <w:r w:rsidRPr="00786519">
        <w:rPr>
          <w:b/>
          <w:bCs/>
          <w:szCs w:val="20"/>
          <w:lang w:eastAsia="es-ES"/>
        </w:rPr>
        <w:t>DIRECCIÓN GENERAL DE COMUNICACIÓN EN SALUD</w:t>
      </w:r>
    </w:p>
    <w:p w14:paraId="090BEAC7" w14:textId="77777777" w:rsidR="00374E4B" w:rsidRPr="00BF1FB2" w:rsidRDefault="00374E4B" w:rsidP="00374E4B">
      <w:pPr>
        <w:spacing w:after="0" w:line="240" w:lineRule="auto"/>
        <w:jc w:val="both"/>
        <w:rPr>
          <w:szCs w:val="20"/>
          <w:lang w:val="es-MX"/>
        </w:rPr>
      </w:pPr>
    </w:p>
    <w:p w14:paraId="293A8E84" w14:textId="77777777" w:rsidR="00374E4B" w:rsidRDefault="00374E4B" w:rsidP="00374E4B">
      <w:pPr>
        <w:spacing w:after="0" w:line="240" w:lineRule="auto"/>
        <w:jc w:val="both"/>
        <w:rPr>
          <w:szCs w:val="20"/>
          <w:lang w:val="es-MX"/>
        </w:rPr>
      </w:pPr>
      <w:r w:rsidRPr="00BF1FB2">
        <w:rPr>
          <w:szCs w:val="20"/>
          <w:lang w:val="es-MX"/>
        </w:rPr>
        <w:t>Desde la Dirección General de Comunicación en Salud (DGCS) se destaca grandes avances en materia de comunicación externa y sistematización de la información como las campañas realizadas durante el 2025, entre ellas; la de arbovirosis (dengue), inmunización, semana del prematuro, octubre rosa, noviembre azul, violencia, alimentación saludable y actividad física. Se ha logrado el alcance del 85 % de los desafíos</w:t>
      </w:r>
      <w:r>
        <w:rPr>
          <w:szCs w:val="20"/>
          <w:lang w:val="es-MX"/>
        </w:rPr>
        <w:t>.</w:t>
      </w:r>
    </w:p>
    <w:p w14:paraId="467A1699" w14:textId="77777777" w:rsidR="00374E4B" w:rsidRPr="00BF1FB2" w:rsidRDefault="00374E4B" w:rsidP="00374E4B">
      <w:pPr>
        <w:spacing w:after="0" w:line="240" w:lineRule="auto"/>
        <w:jc w:val="both"/>
        <w:rPr>
          <w:szCs w:val="20"/>
          <w:lang w:val="es-MX"/>
        </w:rPr>
      </w:pPr>
      <w:r w:rsidRPr="00BF1FB2">
        <w:rPr>
          <w:szCs w:val="20"/>
          <w:lang w:val="es-MX"/>
        </w:rPr>
        <w:t>Así también, en materia de Comunicación Interna, la DGCS alcanzó el 100% de su meta de fortalecimiento institucional, a través de capacitaciones presenciales en las 18 regiones sanitarias, con un total de 397 participantes. Se logró un diagnóstico preciso de las necesidades comunicacionales locales y se optimizó la red de comunicación integrada del MSPyBS, adaptando las estrategias al contexto de cada región con los siguientes resultados:</w:t>
      </w:r>
    </w:p>
    <w:p w14:paraId="54C1D1B5" w14:textId="77777777" w:rsidR="00374E4B" w:rsidRPr="00BF1FB2" w:rsidRDefault="00374E4B" w:rsidP="00374E4B">
      <w:pPr>
        <w:spacing w:after="0" w:line="240" w:lineRule="auto"/>
        <w:jc w:val="both"/>
        <w:rPr>
          <w:szCs w:val="20"/>
          <w:lang w:val="es-MX"/>
        </w:rPr>
      </w:pPr>
      <w:r w:rsidRPr="00BF1FB2">
        <w:rPr>
          <w:b/>
          <w:bCs/>
          <w:szCs w:val="20"/>
          <w:lang w:val="es-MX"/>
        </w:rPr>
        <w:t>Institucionalización de la vocería:</w:t>
      </w:r>
      <w:r w:rsidRPr="00BF1FB2">
        <w:rPr>
          <w:szCs w:val="20"/>
          <w:lang w:val="es-MX"/>
        </w:rPr>
        <w:t xml:space="preserve"> se consolidó el cumplimiento de la resolución oficial, logrando un manejo de prensa unificado y profesional.</w:t>
      </w:r>
    </w:p>
    <w:p w14:paraId="2A96FCB3" w14:textId="77777777" w:rsidR="00374E4B" w:rsidRPr="00BF1FB2" w:rsidRDefault="00374E4B" w:rsidP="00374E4B">
      <w:pPr>
        <w:spacing w:after="0" w:line="240" w:lineRule="auto"/>
        <w:jc w:val="both"/>
        <w:rPr>
          <w:szCs w:val="20"/>
          <w:lang w:val="es-MX"/>
        </w:rPr>
      </w:pPr>
      <w:r w:rsidRPr="00BF1FB2">
        <w:rPr>
          <w:b/>
          <w:bCs/>
          <w:szCs w:val="20"/>
          <w:lang w:val="es-MX"/>
        </w:rPr>
        <w:t>Rol estratégico:</w:t>
      </w:r>
      <w:r w:rsidRPr="00BF1FB2">
        <w:rPr>
          <w:szCs w:val="20"/>
          <w:lang w:val="es-MX"/>
        </w:rPr>
        <w:t xml:space="preserve"> se continúa trabajando en la transformación de la percepción de directivos y funcionarios en general acerca del perfil del comunicador regional, quien hoy actúa como un estratega integrado a los programas de salud y no como un recolector de evidencia fotográfica.</w:t>
      </w:r>
    </w:p>
    <w:p w14:paraId="7D6920BC" w14:textId="77777777" w:rsidR="00374E4B" w:rsidRPr="00BF1FB2" w:rsidRDefault="00374E4B" w:rsidP="00374E4B">
      <w:pPr>
        <w:spacing w:after="0" w:line="240" w:lineRule="auto"/>
        <w:jc w:val="both"/>
        <w:rPr>
          <w:szCs w:val="20"/>
          <w:lang w:val="es-MX"/>
        </w:rPr>
      </w:pPr>
      <w:r w:rsidRPr="00BF1FB2">
        <w:rPr>
          <w:b/>
          <w:bCs/>
          <w:szCs w:val="20"/>
          <w:lang w:val="es-MX"/>
        </w:rPr>
        <w:t>Articulación eficiente:</w:t>
      </w:r>
      <w:r w:rsidRPr="00BF1FB2">
        <w:rPr>
          <w:szCs w:val="20"/>
          <w:lang w:val="es-MX"/>
        </w:rPr>
        <w:t xml:space="preserve"> se sigue trabajando en la disminución de las brechas de información entre regiones sanitarias y servicios de salud (hospitales, centros de salud, puestos de salud, unidades de salud de la familia), garantizando el flujo oportuno de datos para la comunicación pública.</w:t>
      </w:r>
    </w:p>
    <w:p w14:paraId="4519D7F7" w14:textId="77777777" w:rsidR="00374E4B" w:rsidRPr="00BF1FB2" w:rsidRDefault="00374E4B" w:rsidP="00374E4B">
      <w:pPr>
        <w:spacing w:after="0" w:line="240" w:lineRule="auto"/>
        <w:jc w:val="both"/>
        <w:rPr>
          <w:szCs w:val="20"/>
          <w:lang w:val="es-MX"/>
        </w:rPr>
      </w:pPr>
      <w:r w:rsidRPr="00BF1FB2">
        <w:rPr>
          <w:b/>
          <w:bCs/>
          <w:szCs w:val="20"/>
          <w:lang w:val="es-MX"/>
        </w:rPr>
        <w:t>Identidad visual:</w:t>
      </w:r>
      <w:r w:rsidRPr="00BF1FB2">
        <w:rPr>
          <w:szCs w:val="20"/>
          <w:lang w:val="es-MX"/>
        </w:rPr>
        <w:t xml:space="preserve"> se ha observado una mejoría en el uso de materiales gráficos bajo los lineamientos institucionales, asegurando coherencia a nivel nacional, en el área de salud.</w:t>
      </w:r>
    </w:p>
    <w:p w14:paraId="0B7EE863" w14:textId="77777777" w:rsidR="00374E4B" w:rsidRPr="00BF1FB2" w:rsidRDefault="00374E4B" w:rsidP="00374E4B">
      <w:pPr>
        <w:spacing w:after="0" w:line="240" w:lineRule="auto"/>
        <w:jc w:val="both"/>
        <w:rPr>
          <w:szCs w:val="20"/>
          <w:lang w:val="es-MX"/>
        </w:rPr>
      </w:pPr>
      <w:r w:rsidRPr="00BF1FB2">
        <w:rPr>
          <w:b/>
          <w:bCs/>
          <w:szCs w:val="20"/>
          <w:lang w:val="es-MX"/>
        </w:rPr>
        <w:t>Prioridades de comunicación identificadas:</w:t>
      </w:r>
      <w:r w:rsidRPr="00BF1FB2">
        <w:rPr>
          <w:szCs w:val="20"/>
          <w:lang w:val="es-MX"/>
        </w:rPr>
        <w:t xml:space="preserve"> existe un consenso general sobre la urgencia de enfocar las estrategias de comunicación en cuatro ejes críticos: salud mental, embarazo adolescente, adicciones y control prenatal. </w:t>
      </w:r>
    </w:p>
    <w:p w14:paraId="1EA5E6A6" w14:textId="77777777" w:rsidR="00374E4B" w:rsidRDefault="00374E4B" w:rsidP="00374E4B">
      <w:pPr>
        <w:spacing w:after="0" w:line="240" w:lineRule="auto"/>
        <w:jc w:val="both"/>
        <w:rPr>
          <w:szCs w:val="20"/>
          <w:lang w:val="es-MX"/>
        </w:rPr>
      </w:pPr>
      <w:r w:rsidRPr="00BF1FB2">
        <w:rPr>
          <w:szCs w:val="20"/>
          <w:lang w:val="es-MX"/>
        </w:rPr>
        <w:t xml:space="preserve">Así también se ha instruido a </w:t>
      </w:r>
      <w:r w:rsidRPr="00BF1FB2">
        <w:rPr>
          <w:b/>
          <w:bCs/>
          <w:szCs w:val="20"/>
          <w:lang w:val="es-MX"/>
        </w:rPr>
        <w:t>49</w:t>
      </w:r>
      <w:r w:rsidRPr="00BF1FB2">
        <w:rPr>
          <w:szCs w:val="20"/>
          <w:lang w:val="es-MX"/>
        </w:rPr>
        <w:t xml:space="preserve"> comunicadores que se incorporaron a la Red Nacional de Comunicación en Salud, logrando de esta manera el cumplimiento total de los desafíos propuestos para el año 2025.</w:t>
      </w:r>
    </w:p>
    <w:p w14:paraId="656C4939" w14:textId="77777777" w:rsidR="00BE2300" w:rsidRDefault="00BE2300" w:rsidP="00374E4B">
      <w:pPr>
        <w:spacing w:after="0" w:line="240" w:lineRule="auto"/>
        <w:jc w:val="both"/>
        <w:rPr>
          <w:szCs w:val="20"/>
          <w:lang w:val="es-MX"/>
        </w:rPr>
      </w:pPr>
    </w:p>
    <w:p w14:paraId="2C69B1D9" w14:textId="77777777" w:rsidR="00BE2300" w:rsidRDefault="00BE2300" w:rsidP="00374E4B">
      <w:pPr>
        <w:spacing w:after="0" w:line="240" w:lineRule="auto"/>
        <w:jc w:val="both"/>
        <w:rPr>
          <w:szCs w:val="20"/>
          <w:lang w:val="es-MX"/>
        </w:rPr>
      </w:pPr>
    </w:p>
    <w:p w14:paraId="2A58ED04" w14:textId="77777777" w:rsidR="00BE2300" w:rsidRDefault="00BE2300" w:rsidP="00374E4B">
      <w:pPr>
        <w:spacing w:after="0" w:line="240" w:lineRule="auto"/>
        <w:jc w:val="both"/>
        <w:rPr>
          <w:szCs w:val="20"/>
          <w:lang w:val="es-MX"/>
        </w:rPr>
      </w:pPr>
    </w:p>
    <w:p w14:paraId="22ECE391" w14:textId="77777777" w:rsidR="00BE2300" w:rsidRDefault="00BE2300" w:rsidP="00374E4B">
      <w:pPr>
        <w:spacing w:after="0" w:line="240" w:lineRule="auto"/>
        <w:jc w:val="both"/>
        <w:rPr>
          <w:szCs w:val="20"/>
          <w:lang w:val="es-MX"/>
        </w:rPr>
      </w:pPr>
    </w:p>
    <w:p w14:paraId="3FB75841" w14:textId="77777777" w:rsidR="00BE2300" w:rsidRDefault="00BE2300" w:rsidP="00374E4B">
      <w:pPr>
        <w:spacing w:after="0" w:line="240" w:lineRule="auto"/>
        <w:jc w:val="both"/>
        <w:rPr>
          <w:szCs w:val="20"/>
          <w:lang w:val="es-MX"/>
        </w:rPr>
      </w:pPr>
    </w:p>
    <w:p w14:paraId="56C33128" w14:textId="77777777" w:rsidR="00BE2300" w:rsidRDefault="00BE2300" w:rsidP="00374E4B">
      <w:pPr>
        <w:spacing w:after="0" w:line="240" w:lineRule="auto"/>
        <w:jc w:val="both"/>
        <w:rPr>
          <w:szCs w:val="20"/>
          <w:lang w:val="es-MX"/>
        </w:rPr>
      </w:pPr>
    </w:p>
    <w:p w14:paraId="09D05864" w14:textId="77777777" w:rsidR="00BE2300" w:rsidRDefault="00BE2300" w:rsidP="00374E4B">
      <w:pPr>
        <w:spacing w:after="0" w:line="240" w:lineRule="auto"/>
        <w:jc w:val="both"/>
        <w:rPr>
          <w:szCs w:val="20"/>
          <w:lang w:val="es-MX"/>
        </w:rPr>
      </w:pPr>
    </w:p>
    <w:p w14:paraId="3C62AB49" w14:textId="77777777" w:rsidR="00BE2300" w:rsidRDefault="00BE2300" w:rsidP="00374E4B">
      <w:pPr>
        <w:spacing w:after="0" w:line="240" w:lineRule="auto"/>
        <w:jc w:val="both"/>
        <w:rPr>
          <w:szCs w:val="20"/>
          <w:lang w:val="es-MX"/>
        </w:rPr>
      </w:pPr>
    </w:p>
    <w:p w14:paraId="51FC39E3" w14:textId="77777777" w:rsidR="00BE2300" w:rsidRDefault="00BE2300" w:rsidP="00374E4B">
      <w:pPr>
        <w:spacing w:after="0" w:line="240" w:lineRule="auto"/>
        <w:jc w:val="both"/>
        <w:rPr>
          <w:szCs w:val="20"/>
          <w:lang w:val="es-MX"/>
        </w:rPr>
      </w:pPr>
    </w:p>
    <w:p w14:paraId="0B39B422" w14:textId="77777777" w:rsidR="00BE2300" w:rsidRPr="00BF1FB2" w:rsidRDefault="00BE2300" w:rsidP="00374E4B">
      <w:pPr>
        <w:spacing w:after="0" w:line="240" w:lineRule="auto"/>
        <w:jc w:val="both"/>
        <w:rPr>
          <w:szCs w:val="20"/>
          <w:lang w:val="es-MX"/>
        </w:rPr>
      </w:pPr>
    </w:p>
    <w:p w14:paraId="5D8E291F" w14:textId="77777777" w:rsidR="00374E4B" w:rsidRPr="00BF1FB2" w:rsidRDefault="00374E4B" w:rsidP="00374E4B">
      <w:pPr>
        <w:spacing w:after="0" w:line="240" w:lineRule="auto"/>
        <w:jc w:val="both"/>
        <w:rPr>
          <w:szCs w:val="20"/>
          <w:lang w:val="es-MX"/>
        </w:rPr>
      </w:pPr>
    </w:p>
    <w:p w14:paraId="31CC7AA8" w14:textId="77777777" w:rsidR="00374E4B" w:rsidRPr="00786519" w:rsidRDefault="00374E4B" w:rsidP="00786519">
      <w:pPr>
        <w:tabs>
          <w:tab w:val="left" w:pos="0"/>
        </w:tabs>
        <w:spacing w:line="240" w:lineRule="atLeast"/>
        <w:jc w:val="both"/>
        <w:rPr>
          <w:b/>
          <w:bCs/>
          <w:szCs w:val="20"/>
          <w:lang w:eastAsia="es-ES"/>
        </w:rPr>
      </w:pPr>
      <w:r w:rsidRPr="00786519">
        <w:rPr>
          <w:b/>
          <w:bCs/>
          <w:szCs w:val="20"/>
          <w:lang w:eastAsia="es-ES"/>
        </w:rPr>
        <w:t>INSTITUTO DE BIENESTAR SOCIAL</w:t>
      </w:r>
    </w:p>
    <w:p w14:paraId="0C8A4432" w14:textId="77777777" w:rsidR="00374E4B" w:rsidRPr="00263698" w:rsidRDefault="00374E4B" w:rsidP="00374E4B">
      <w:pPr>
        <w:jc w:val="both"/>
        <w:rPr>
          <w:b/>
          <w:color w:val="000000"/>
          <w:szCs w:val="20"/>
          <w:lang w:eastAsia="es-PY"/>
        </w:rPr>
      </w:pPr>
      <w:r w:rsidRPr="00263698">
        <w:rPr>
          <w:b/>
          <w:color w:val="000000"/>
          <w:szCs w:val="20"/>
          <w:lang w:eastAsia="es-PY"/>
        </w:rPr>
        <w:t>PROMOCION Y DEFENSA DE LOS DERECHOS DE LAS PERSONAS MAYORES</w:t>
      </w:r>
    </w:p>
    <w:p w14:paraId="2F66D861" w14:textId="77777777" w:rsidR="00374E4B" w:rsidRPr="00F26AC8" w:rsidRDefault="00374E4B" w:rsidP="00374E4B">
      <w:pPr>
        <w:spacing w:after="0" w:line="240" w:lineRule="auto"/>
        <w:contextualSpacing/>
        <w:jc w:val="both"/>
        <w:rPr>
          <w:szCs w:val="20"/>
        </w:rPr>
      </w:pPr>
      <w:r w:rsidRPr="00F26AC8">
        <w:rPr>
          <w:szCs w:val="20"/>
        </w:rPr>
        <w:t>380 intervenciones de casos de Adultos Mayores.</w:t>
      </w:r>
    </w:p>
    <w:p w14:paraId="1787CD25" w14:textId="46698320" w:rsidR="00374E4B" w:rsidRPr="00F26AC8" w:rsidRDefault="00374E4B" w:rsidP="00374E4B">
      <w:pPr>
        <w:spacing w:after="0" w:line="240" w:lineRule="auto"/>
        <w:contextualSpacing/>
        <w:jc w:val="both"/>
        <w:rPr>
          <w:szCs w:val="20"/>
        </w:rPr>
      </w:pPr>
      <w:r w:rsidRPr="00F26AC8">
        <w:rPr>
          <w:szCs w:val="20"/>
        </w:rPr>
        <w:t xml:space="preserve">Se institucionalizaron a 11 Personas Adultas Mayores en situación de vulneración en sus derechos </w:t>
      </w:r>
      <w:r w:rsidR="00786519" w:rsidRPr="00F26AC8">
        <w:rPr>
          <w:szCs w:val="20"/>
        </w:rPr>
        <w:t>co</w:t>
      </w:r>
      <w:r w:rsidR="00786519">
        <w:rPr>
          <w:szCs w:val="20"/>
        </w:rPr>
        <w:t>n</w:t>
      </w:r>
      <w:r w:rsidR="00786519" w:rsidRPr="00F26AC8">
        <w:rPr>
          <w:szCs w:val="20"/>
        </w:rPr>
        <w:t>stitucionales</w:t>
      </w:r>
      <w:r w:rsidRPr="00F26AC8">
        <w:rPr>
          <w:szCs w:val="20"/>
        </w:rPr>
        <w:t>.</w:t>
      </w:r>
    </w:p>
    <w:p w14:paraId="4FD5B7FE" w14:textId="77777777" w:rsidR="00374E4B" w:rsidRPr="00F26AC8" w:rsidRDefault="00374E4B" w:rsidP="00374E4B">
      <w:pPr>
        <w:spacing w:after="0" w:line="240" w:lineRule="atLeast"/>
        <w:contextualSpacing/>
        <w:jc w:val="both"/>
        <w:rPr>
          <w:szCs w:val="20"/>
        </w:rPr>
      </w:pPr>
      <w:r w:rsidRPr="00F26AC8">
        <w:rPr>
          <w:szCs w:val="20"/>
        </w:rPr>
        <w:t xml:space="preserve">Desde esta Dirección se ha tenido para el año una proyección Anual de </w:t>
      </w:r>
      <w:r w:rsidRPr="00F26AC8">
        <w:rPr>
          <w:b/>
          <w:szCs w:val="20"/>
        </w:rPr>
        <w:t>13.088</w:t>
      </w:r>
      <w:r w:rsidRPr="00F26AC8">
        <w:rPr>
          <w:szCs w:val="20"/>
        </w:rPr>
        <w:t xml:space="preserve"> atenciones a Personas Adultas Mayores, llegando a finales del año a </w:t>
      </w:r>
      <w:r w:rsidRPr="00F26AC8">
        <w:rPr>
          <w:b/>
          <w:szCs w:val="20"/>
        </w:rPr>
        <w:t>49.807</w:t>
      </w:r>
      <w:r w:rsidRPr="00F26AC8">
        <w:rPr>
          <w:szCs w:val="20"/>
        </w:rPr>
        <w:t xml:space="preserve">, con </w:t>
      </w:r>
      <w:r w:rsidRPr="00F26AC8">
        <w:rPr>
          <w:b/>
          <w:szCs w:val="20"/>
        </w:rPr>
        <w:t>380,55%,</w:t>
      </w:r>
      <w:r w:rsidRPr="00F26AC8">
        <w:rPr>
          <w:szCs w:val="20"/>
        </w:rPr>
        <w:t xml:space="preserve"> superando ampliamente la meta propuesta.</w:t>
      </w:r>
    </w:p>
    <w:p w14:paraId="550063EA" w14:textId="77777777" w:rsidR="00374E4B" w:rsidRPr="00F26AC8" w:rsidRDefault="00374E4B" w:rsidP="00374E4B">
      <w:pPr>
        <w:spacing w:after="0" w:line="240" w:lineRule="atLeast"/>
        <w:contextualSpacing/>
        <w:jc w:val="both"/>
        <w:rPr>
          <w:szCs w:val="20"/>
        </w:rPr>
      </w:pPr>
      <w:r w:rsidRPr="00F26AC8">
        <w:rPr>
          <w:szCs w:val="20"/>
        </w:rPr>
        <w:t xml:space="preserve">Así también de las </w:t>
      </w:r>
      <w:r w:rsidRPr="00F26AC8">
        <w:rPr>
          <w:b/>
          <w:szCs w:val="20"/>
        </w:rPr>
        <w:t>8.000</w:t>
      </w:r>
      <w:r w:rsidRPr="00F26AC8">
        <w:rPr>
          <w:szCs w:val="20"/>
        </w:rPr>
        <w:t xml:space="preserve"> población objetiva proyectada se logró un </w:t>
      </w:r>
      <w:r w:rsidRPr="00F26AC8">
        <w:rPr>
          <w:b/>
          <w:szCs w:val="20"/>
        </w:rPr>
        <w:t xml:space="preserve">total de 2.854 </w:t>
      </w:r>
      <w:r w:rsidRPr="00F26AC8">
        <w:rPr>
          <w:szCs w:val="20"/>
        </w:rPr>
        <w:t xml:space="preserve">distribuido de la siguiente manera: </w:t>
      </w:r>
      <w:r w:rsidRPr="00F26AC8">
        <w:rPr>
          <w:b/>
          <w:szCs w:val="20"/>
        </w:rPr>
        <w:t>Hombres 1.454</w:t>
      </w:r>
      <w:r w:rsidRPr="00F26AC8">
        <w:rPr>
          <w:szCs w:val="20"/>
        </w:rPr>
        <w:t xml:space="preserve"> y </w:t>
      </w:r>
      <w:r w:rsidRPr="00F26AC8">
        <w:rPr>
          <w:b/>
          <w:szCs w:val="20"/>
        </w:rPr>
        <w:t>Mujeres 1.400, con un 35,68 %.</w:t>
      </w:r>
    </w:p>
    <w:p w14:paraId="0B05DD48" w14:textId="77777777" w:rsidR="00374E4B" w:rsidRPr="00F26AC8" w:rsidRDefault="00374E4B" w:rsidP="00374E4B">
      <w:pPr>
        <w:spacing w:after="0" w:line="240" w:lineRule="auto"/>
        <w:contextualSpacing/>
        <w:jc w:val="both"/>
        <w:rPr>
          <w:szCs w:val="20"/>
        </w:rPr>
      </w:pPr>
      <w:r w:rsidRPr="00F26AC8">
        <w:rPr>
          <w:b/>
          <w:bCs/>
          <w:color w:val="0A0A0A"/>
          <w:szCs w:val="20"/>
          <w:shd w:val="clear" w:color="auto" w:fill="FFFFFF"/>
        </w:rPr>
        <w:t>"Acto conmemorativo por el Día Internacional de las Personas Mayores, realizado en la sede de la Gobernación del Departamento de Concepción</w:t>
      </w:r>
      <w:r w:rsidRPr="00F26AC8">
        <w:rPr>
          <w:szCs w:val="20"/>
        </w:rPr>
        <w:t>.</w:t>
      </w:r>
    </w:p>
    <w:p w14:paraId="7B06BB64" w14:textId="77777777" w:rsidR="00374E4B" w:rsidRPr="00F26AC8" w:rsidRDefault="00374E4B" w:rsidP="00374E4B">
      <w:pPr>
        <w:spacing w:after="0" w:line="240" w:lineRule="auto"/>
        <w:contextualSpacing/>
        <w:jc w:val="both"/>
        <w:rPr>
          <w:szCs w:val="20"/>
        </w:rPr>
      </w:pPr>
      <w:r w:rsidRPr="00F26AC8">
        <w:rPr>
          <w:szCs w:val="20"/>
        </w:rPr>
        <w:t>Lanzamiento de tres materiales:</w:t>
      </w:r>
    </w:p>
    <w:p w14:paraId="4C4FD9EC" w14:textId="77777777" w:rsidR="00374E4B" w:rsidRPr="00FB293F" w:rsidRDefault="00374E4B" w:rsidP="00374E4B">
      <w:pPr>
        <w:pStyle w:val="Prrafodelista"/>
        <w:numPr>
          <w:ilvl w:val="0"/>
          <w:numId w:val="19"/>
        </w:numPr>
        <w:spacing w:after="0" w:line="240" w:lineRule="auto"/>
        <w:contextualSpacing/>
        <w:jc w:val="both"/>
        <w:rPr>
          <w:rFonts w:ascii="Times New Roman" w:hAnsi="Times New Roman"/>
          <w:szCs w:val="20"/>
        </w:rPr>
      </w:pPr>
      <w:r w:rsidRPr="00FB293F">
        <w:rPr>
          <w:rFonts w:ascii="Times New Roman" w:hAnsi="Times New Roman"/>
          <w:szCs w:val="20"/>
        </w:rPr>
        <w:t>Guía Práctica para Cuidadores Domiciliarios no Formales de Personas Mayores, según Resolución Ministerial N° 369/2025.</w:t>
      </w:r>
    </w:p>
    <w:p w14:paraId="2E681079" w14:textId="77777777" w:rsidR="00374E4B" w:rsidRPr="00FB293F" w:rsidRDefault="00374E4B" w:rsidP="00374E4B">
      <w:pPr>
        <w:pStyle w:val="Prrafodelista"/>
        <w:numPr>
          <w:ilvl w:val="0"/>
          <w:numId w:val="19"/>
        </w:numPr>
        <w:spacing w:after="0" w:line="240" w:lineRule="auto"/>
        <w:contextualSpacing/>
        <w:jc w:val="both"/>
        <w:rPr>
          <w:rFonts w:ascii="Times New Roman" w:hAnsi="Times New Roman"/>
          <w:szCs w:val="20"/>
        </w:rPr>
      </w:pPr>
      <w:r w:rsidRPr="00FB293F">
        <w:rPr>
          <w:rFonts w:ascii="Times New Roman" w:hAnsi="Times New Roman"/>
          <w:szCs w:val="20"/>
        </w:rPr>
        <w:t>Buenas Prácticas para un Trato Digno a las Personas Mayores, según Resolución Ministerial N° 370/2025.</w:t>
      </w:r>
    </w:p>
    <w:p w14:paraId="694CAE59" w14:textId="77777777" w:rsidR="00374E4B" w:rsidRDefault="00374E4B" w:rsidP="00374E4B">
      <w:pPr>
        <w:pStyle w:val="Prrafodelista"/>
        <w:numPr>
          <w:ilvl w:val="0"/>
          <w:numId w:val="19"/>
        </w:numPr>
        <w:spacing w:after="0" w:line="240" w:lineRule="auto"/>
        <w:contextualSpacing/>
        <w:jc w:val="both"/>
        <w:rPr>
          <w:rFonts w:ascii="Times New Roman" w:hAnsi="Times New Roman"/>
          <w:szCs w:val="20"/>
        </w:rPr>
      </w:pPr>
      <w:r w:rsidRPr="00FB293F">
        <w:rPr>
          <w:rFonts w:ascii="Times New Roman" w:hAnsi="Times New Roman"/>
          <w:szCs w:val="20"/>
        </w:rPr>
        <w:t>Manual de Atención y Prevención de Maltratos contra Personas Mayores, según Resolución Ministerial N° 371/2025.</w:t>
      </w:r>
    </w:p>
    <w:p w14:paraId="7A8BDEC0" w14:textId="77777777" w:rsidR="00786519" w:rsidRDefault="00786519" w:rsidP="00786519">
      <w:pPr>
        <w:spacing w:after="0" w:line="240" w:lineRule="auto"/>
        <w:contextualSpacing/>
        <w:jc w:val="both"/>
        <w:rPr>
          <w:szCs w:val="20"/>
        </w:rPr>
      </w:pPr>
    </w:p>
    <w:p w14:paraId="3DC9759B" w14:textId="77777777" w:rsidR="00374E4B" w:rsidRPr="00FB293F" w:rsidRDefault="00374E4B" w:rsidP="00374E4B">
      <w:pPr>
        <w:jc w:val="both"/>
        <w:rPr>
          <w:b/>
          <w:szCs w:val="20"/>
        </w:rPr>
      </w:pPr>
      <w:r w:rsidRPr="00FB293F">
        <w:rPr>
          <w:b/>
          <w:szCs w:val="20"/>
        </w:rPr>
        <w:t>FORTALECIENDO ALIANZAS ESTRATEGICAS CON INSTITUCIONES</w:t>
      </w:r>
    </w:p>
    <w:p w14:paraId="74B19D03" w14:textId="77777777" w:rsidR="00374E4B" w:rsidRPr="00FB176A" w:rsidRDefault="00374E4B" w:rsidP="00374E4B">
      <w:pPr>
        <w:spacing w:after="0" w:line="240" w:lineRule="auto"/>
        <w:contextualSpacing/>
        <w:jc w:val="both"/>
        <w:rPr>
          <w:szCs w:val="20"/>
        </w:rPr>
      </w:pPr>
      <w:r w:rsidRPr="00FB176A">
        <w:rPr>
          <w:bCs/>
          <w:szCs w:val="20"/>
        </w:rPr>
        <w:t xml:space="preserve">Capacitación en 9 Regiones Sanitarias sobre Modelo de Atención Gerontológico centrado en la Persona Mayor como Sujeto de Derechos e Implementación de los 3 materiales para Personas Mayores lanzados en el año 2025. </w:t>
      </w:r>
    </w:p>
    <w:p w14:paraId="5CE176E5" w14:textId="77777777" w:rsidR="00374E4B" w:rsidRPr="00FB176A" w:rsidRDefault="00374E4B" w:rsidP="00374E4B">
      <w:pPr>
        <w:spacing w:after="0" w:line="240" w:lineRule="auto"/>
        <w:contextualSpacing/>
        <w:jc w:val="both"/>
        <w:rPr>
          <w:bCs/>
          <w:szCs w:val="20"/>
        </w:rPr>
      </w:pPr>
      <w:r w:rsidRPr="00FB176A">
        <w:rPr>
          <w:bCs/>
          <w:szCs w:val="20"/>
        </w:rPr>
        <w:t>Realización y Lanzamiento de los materiales "Manual de Atención y Prevención de Maltrato contra Personas Mayores", "Guía Práctica para cuidadores domiciliarios no formales de Personas Mayores" y "Buenas Prácticas para un trato digno a Personas Mayores" realizados con representantes Gubernamentales y no Gubernamentales, así también con diversos municipios.</w:t>
      </w:r>
    </w:p>
    <w:p w14:paraId="509B244E" w14:textId="77777777" w:rsidR="00374E4B" w:rsidRPr="00FB176A" w:rsidRDefault="00374E4B" w:rsidP="00374E4B">
      <w:pPr>
        <w:spacing w:after="0" w:line="240" w:lineRule="auto"/>
        <w:contextualSpacing/>
        <w:jc w:val="both"/>
        <w:rPr>
          <w:bCs/>
          <w:szCs w:val="20"/>
        </w:rPr>
      </w:pPr>
      <w:r w:rsidRPr="00FB176A">
        <w:rPr>
          <w:bCs/>
          <w:szCs w:val="20"/>
        </w:rPr>
        <w:t>Esta mesa de trabajo tuvo como finalidad generar un espacio de diálogo y coordinación para: Analizar la situación actual de los adultos mayores en el país.</w:t>
      </w:r>
    </w:p>
    <w:p w14:paraId="6ACC9A80" w14:textId="77777777" w:rsidR="00374E4B" w:rsidRPr="00FB176A" w:rsidRDefault="00374E4B" w:rsidP="00374E4B">
      <w:pPr>
        <w:spacing w:after="0" w:line="240" w:lineRule="auto"/>
        <w:contextualSpacing/>
        <w:jc w:val="both"/>
        <w:rPr>
          <w:bCs/>
          <w:szCs w:val="20"/>
        </w:rPr>
      </w:pPr>
      <w:r w:rsidRPr="00FB176A">
        <w:rPr>
          <w:bCs/>
          <w:szCs w:val="20"/>
        </w:rPr>
        <w:t>Identificar las principales brechas y desafíos en la implementación de políticas públicas.</w:t>
      </w:r>
    </w:p>
    <w:p w14:paraId="46501C5B" w14:textId="77777777" w:rsidR="00374E4B" w:rsidRPr="00786519" w:rsidRDefault="00374E4B" w:rsidP="00BE2300">
      <w:pPr>
        <w:spacing w:after="0"/>
        <w:jc w:val="both"/>
        <w:rPr>
          <w:b/>
          <w:color w:val="000000"/>
          <w:sz w:val="10"/>
          <w:szCs w:val="10"/>
          <w:u w:val="single"/>
          <w:lang w:eastAsia="es-PY"/>
        </w:rPr>
      </w:pPr>
    </w:p>
    <w:p w14:paraId="0A5CB2A4" w14:textId="77777777" w:rsidR="00374E4B" w:rsidRPr="00FC22A8" w:rsidRDefault="00374E4B" w:rsidP="00374E4B">
      <w:pPr>
        <w:jc w:val="both"/>
        <w:rPr>
          <w:b/>
          <w:color w:val="000000"/>
          <w:szCs w:val="20"/>
          <w:lang w:eastAsia="es-PY"/>
        </w:rPr>
      </w:pPr>
      <w:r w:rsidRPr="00FC22A8">
        <w:rPr>
          <w:b/>
          <w:color w:val="000000"/>
          <w:szCs w:val="20"/>
          <w:lang w:eastAsia="es-PY"/>
        </w:rPr>
        <w:t>ATENCION INTEGRAL BRINDADA EN SERVICIOS DEL IBS</w:t>
      </w:r>
    </w:p>
    <w:p w14:paraId="213E006B" w14:textId="77777777" w:rsidR="00374E4B" w:rsidRDefault="00374E4B" w:rsidP="00374E4B">
      <w:pPr>
        <w:spacing w:after="0"/>
        <w:jc w:val="both"/>
        <w:rPr>
          <w:b/>
          <w:color w:val="000000"/>
          <w:szCs w:val="20"/>
          <w:u w:val="single"/>
          <w:lang w:eastAsia="es-PY"/>
        </w:rPr>
      </w:pPr>
      <w:r>
        <w:rPr>
          <w:bCs/>
          <w:color w:val="000000" w:themeColor="text1"/>
          <w:szCs w:val="20"/>
        </w:rPr>
        <w:t>C</w:t>
      </w:r>
      <w:r w:rsidRPr="00330DE0">
        <w:rPr>
          <w:bCs/>
          <w:color w:val="000000" w:themeColor="text1"/>
          <w:szCs w:val="20"/>
        </w:rPr>
        <w:t xml:space="preserve">obertura de </w:t>
      </w:r>
      <w:r w:rsidRPr="00330DE0">
        <w:rPr>
          <w:b/>
          <w:bCs/>
          <w:color w:val="000000" w:themeColor="text1"/>
          <w:szCs w:val="20"/>
        </w:rPr>
        <w:t>11.902</w:t>
      </w:r>
      <w:r w:rsidRPr="00330DE0">
        <w:rPr>
          <w:bCs/>
          <w:color w:val="000000" w:themeColor="text1"/>
          <w:szCs w:val="20"/>
        </w:rPr>
        <w:t xml:space="preserve"> niños/as, distribuida de la siguiente manera </w:t>
      </w:r>
      <w:r w:rsidRPr="00330DE0">
        <w:rPr>
          <w:b/>
          <w:bCs/>
          <w:color w:val="000000" w:themeColor="text1"/>
          <w:szCs w:val="20"/>
        </w:rPr>
        <w:t>5.963</w:t>
      </w:r>
      <w:r w:rsidRPr="00330DE0">
        <w:rPr>
          <w:bCs/>
          <w:color w:val="000000" w:themeColor="text1"/>
          <w:szCs w:val="20"/>
        </w:rPr>
        <w:t xml:space="preserve"> niños y </w:t>
      </w:r>
      <w:r w:rsidRPr="00330DE0">
        <w:rPr>
          <w:b/>
          <w:bCs/>
          <w:color w:val="000000" w:themeColor="text1"/>
          <w:szCs w:val="20"/>
        </w:rPr>
        <w:t>5.939</w:t>
      </w:r>
      <w:r w:rsidRPr="00330DE0">
        <w:rPr>
          <w:bCs/>
          <w:color w:val="000000" w:themeColor="text1"/>
          <w:szCs w:val="20"/>
        </w:rPr>
        <w:t xml:space="preserve"> niñas, brindando Atención integral (Pediátrica, Odontológica, Psicológica, Nutricional y T. Social), en 31 CEBINFA, a nivel nacional</w:t>
      </w:r>
      <w:r>
        <w:rPr>
          <w:bCs/>
          <w:color w:val="000000" w:themeColor="text1"/>
          <w:szCs w:val="20"/>
        </w:rPr>
        <w:t xml:space="preserve">, </w:t>
      </w:r>
      <w:r w:rsidRPr="00330DE0">
        <w:rPr>
          <w:bCs/>
          <w:color w:val="000000" w:themeColor="text1"/>
          <w:szCs w:val="20"/>
        </w:rPr>
        <w:t>alimentación a Niños/as adolescentes usuarios de 3 comedores comunitarios</w:t>
      </w:r>
      <w:r>
        <w:rPr>
          <w:b/>
          <w:color w:val="000000"/>
          <w:szCs w:val="20"/>
          <w:u w:val="single"/>
          <w:lang w:eastAsia="es-PY"/>
        </w:rPr>
        <w:t xml:space="preserve"> </w:t>
      </w:r>
      <w:r w:rsidRPr="00330DE0">
        <w:rPr>
          <w:bCs/>
          <w:color w:val="000000" w:themeColor="text1"/>
          <w:szCs w:val="20"/>
        </w:rPr>
        <w:t>Con el objetivo de visibilizar el trabajo realizado en los diferentes CEBINFA, se desarrolló la Expo Cebinfa 2025 – denominada “Jugando como antes”</w:t>
      </w:r>
    </w:p>
    <w:p w14:paraId="62A2BD3F" w14:textId="77777777" w:rsidR="00374E4B" w:rsidRDefault="00374E4B" w:rsidP="00374E4B">
      <w:pPr>
        <w:spacing w:after="0"/>
        <w:jc w:val="both"/>
        <w:rPr>
          <w:b/>
          <w:color w:val="000000"/>
          <w:szCs w:val="20"/>
          <w:u w:val="single"/>
          <w:lang w:eastAsia="es-PY"/>
        </w:rPr>
      </w:pPr>
      <w:r w:rsidRPr="00330DE0">
        <w:rPr>
          <w:bCs/>
          <w:color w:val="000000" w:themeColor="text1"/>
          <w:szCs w:val="20"/>
        </w:rPr>
        <w:t xml:space="preserve">Se ha logrado realizar atención integral a los Niños/as, distribuidos en atenciones médicas, psicológicas, nutricionales, odontológicas y sociales en 31 CEBINFA, totalizando </w:t>
      </w:r>
      <w:r w:rsidRPr="00330DE0">
        <w:rPr>
          <w:b/>
          <w:bCs/>
          <w:color w:val="000000" w:themeColor="text1"/>
          <w:szCs w:val="20"/>
        </w:rPr>
        <w:t>22.620</w:t>
      </w:r>
      <w:r w:rsidRPr="00330DE0">
        <w:rPr>
          <w:bCs/>
          <w:color w:val="000000" w:themeColor="text1"/>
          <w:szCs w:val="20"/>
        </w:rPr>
        <w:t xml:space="preserve"> atenciones.</w:t>
      </w:r>
    </w:p>
    <w:p w14:paraId="1842F274" w14:textId="77777777" w:rsidR="00374E4B" w:rsidRDefault="00374E4B" w:rsidP="00374E4B">
      <w:pPr>
        <w:spacing w:after="0"/>
        <w:jc w:val="both"/>
        <w:rPr>
          <w:b/>
          <w:color w:val="000000"/>
          <w:szCs w:val="20"/>
          <w:u w:val="single"/>
          <w:lang w:eastAsia="es-PY"/>
        </w:rPr>
      </w:pPr>
      <w:r w:rsidRPr="00D263FB">
        <w:rPr>
          <w:bCs/>
          <w:color w:val="000000" w:themeColor="text1"/>
          <w:szCs w:val="20"/>
        </w:rPr>
        <w:t>Se brindaron cobertura a Niños/as y Adolescentes en 3 Comedores Comunitarios con provisión de alimentos de lunes a viernes. (San Cayetano de Fdo. De La Mora, Divino Niño Jesús de limpio, Mamá Virginia de limpio).</w:t>
      </w:r>
    </w:p>
    <w:p w14:paraId="5B5C1A70" w14:textId="77777777" w:rsidR="00374E4B" w:rsidRDefault="00374E4B" w:rsidP="00374E4B">
      <w:pPr>
        <w:spacing w:after="0"/>
        <w:jc w:val="both"/>
        <w:rPr>
          <w:b/>
          <w:color w:val="000000"/>
          <w:szCs w:val="20"/>
          <w:u w:val="single"/>
          <w:lang w:eastAsia="es-PY"/>
        </w:rPr>
      </w:pPr>
      <w:r w:rsidRPr="00D263FB">
        <w:rPr>
          <w:bCs/>
          <w:color w:val="000000" w:themeColor="text1"/>
          <w:szCs w:val="20"/>
        </w:rPr>
        <w:t>Renovación de Firmas para Acuerdos.</w:t>
      </w:r>
    </w:p>
    <w:p w14:paraId="776F33C5" w14:textId="77777777" w:rsidR="00374E4B" w:rsidRDefault="00374E4B" w:rsidP="00374E4B">
      <w:pPr>
        <w:spacing w:after="0"/>
        <w:jc w:val="both"/>
        <w:rPr>
          <w:bCs/>
          <w:color w:val="000000" w:themeColor="text1"/>
          <w:szCs w:val="20"/>
        </w:rPr>
      </w:pPr>
      <w:r w:rsidRPr="00D263FB">
        <w:rPr>
          <w:bCs/>
          <w:color w:val="000000" w:themeColor="text1"/>
          <w:szCs w:val="20"/>
        </w:rPr>
        <w:t>Charla sobre Salud Bucal y Entrega de Kits Colgate a 500 niños/as.</w:t>
      </w:r>
    </w:p>
    <w:p w14:paraId="047A1741" w14:textId="77777777" w:rsidR="00BE2300" w:rsidRDefault="00BE2300" w:rsidP="00374E4B">
      <w:pPr>
        <w:spacing w:after="0"/>
        <w:jc w:val="both"/>
        <w:rPr>
          <w:bCs/>
          <w:color w:val="000000" w:themeColor="text1"/>
          <w:szCs w:val="20"/>
        </w:rPr>
      </w:pPr>
    </w:p>
    <w:p w14:paraId="167E23E9" w14:textId="77777777" w:rsidR="00BE2300" w:rsidRDefault="00BE2300" w:rsidP="00374E4B">
      <w:pPr>
        <w:spacing w:after="0"/>
        <w:jc w:val="both"/>
        <w:rPr>
          <w:bCs/>
          <w:color w:val="000000" w:themeColor="text1"/>
          <w:szCs w:val="20"/>
        </w:rPr>
      </w:pPr>
    </w:p>
    <w:p w14:paraId="73E8C9F7" w14:textId="77777777" w:rsidR="00BE2300" w:rsidRDefault="00BE2300" w:rsidP="00374E4B">
      <w:pPr>
        <w:spacing w:after="0"/>
        <w:jc w:val="both"/>
        <w:rPr>
          <w:bCs/>
          <w:color w:val="000000" w:themeColor="text1"/>
          <w:szCs w:val="20"/>
        </w:rPr>
      </w:pPr>
    </w:p>
    <w:p w14:paraId="3A720191" w14:textId="77777777" w:rsidR="00BE2300" w:rsidRDefault="00BE2300" w:rsidP="00374E4B">
      <w:pPr>
        <w:spacing w:after="0"/>
        <w:jc w:val="both"/>
        <w:rPr>
          <w:bCs/>
          <w:color w:val="000000" w:themeColor="text1"/>
          <w:szCs w:val="20"/>
        </w:rPr>
      </w:pPr>
    </w:p>
    <w:p w14:paraId="649D957F" w14:textId="77777777" w:rsidR="00BE2300" w:rsidRDefault="00BE2300" w:rsidP="00374E4B">
      <w:pPr>
        <w:spacing w:after="0"/>
        <w:jc w:val="both"/>
        <w:rPr>
          <w:bCs/>
          <w:color w:val="000000" w:themeColor="text1"/>
          <w:szCs w:val="20"/>
        </w:rPr>
      </w:pPr>
    </w:p>
    <w:p w14:paraId="34DF0BDC" w14:textId="77777777" w:rsidR="00BE2300" w:rsidRDefault="00BE2300" w:rsidP="00374E4B">
      <w:pPr>
        <w:spacing w:after="0"/>
        <w:jc w:val="both"/>
        <w:rPr>
          <w:b/>
          <w:color w:val="000000"/>
          <w:szCs w:val="20"/>
          <w:u w:val="single"/>
          <w:lang w:eastAsia="es-PY"/>
        </w:rPr>
      </w:pPr>
    </w:p>
    <w:p w14:paraId="0021FACA" w14:textId="77777777" w:rsidR="00374E4B" w:rsidRDefault="00374E4B" w:rsidP="00374E4B">
      <w:pPr>
        <w:spacing w:after="0"/>
        <w:jc w:val="both"/>
        <w:rPr>
          <w:b/>
          <w:color w:val="000000"/>
          <w:szCs w:val="20"/>
          <w:u w:val="single"/>
          <w:lang w:eastAsia="es-PY"/>
        </w:rPr>
      </w:pPr>
      <w:r w:rsidRPr="00D263FB">
        <w:rPr>
          <w:bCs/>
          <w:color w:val="000000" w:themeColor="text1"/>
          <w:szCs w:val="20"/>
        </w:rPr>
        <w:t>Capacitación con Padres y Madres de CEBINFA</w:t>
      </w:r>
    </w:p>
    <w:p w14:paraId="329ED25A" w14:textId="77777777" w:rsidR="00374E4B" w:rsidRDefault="00374E4B" w:rsidP="00374E4B">
      <w:pPr>
        <w:spacing w:after="0"/>
        <w:jc w:val="both"/>
        <w:rPr>
          <w:b/>
          <w:color w:val="000000"/>
          <w:szCs w:val="20"/>
          <w:u w:val="single"/>
          <w:lang w:eastAsia="es-PY"/>
        </w:rPr>
      </w:pPr>
      <w:r w:rsidRPr="00D263FB">
        <w:rPr>
          <w:bCs/>
          <w:color w:val="000000" w:themeColor="text1"/>
          <w:szCs w:val="20"/>
        </w:rPr>
        <w:t>Charla Psicológica a Padres y Madres de CEBINFA</w:t>
      </w:r>
    </w:p>
    <w:p w14:paraId="11F89EAA" w14:textId="77777777" w:rsidR="00374E4B" w:rsidRDefault="00374E4B" w:rsidP="00374E4B">
      <w:pPr>
        <w:spacing w:after="0"/>
        <w:jc w:val="both"/>
        <w:rPr>
          <w:b/>
          <w:color w:val="000000"/>
          <w:szCs w:val="20"/>
          <w:u w:val="single"/>
          <w:lang w:eastAsia="es-PY"/>
        </w:rPr>
      </w:pPr>
      <w:r w:rsidRPr="00D263FB">
        <w:rPr>
          <w:bCs/>
          <w:color w:val="000000" w:themeColor="text1"/>
          <w:szCs w:val="20"/>
        </w:rPr>
        <w:t>Capacitación para responsables y funcionarias del Seminario sobre TEA realizado en el Hotel Crowne plaza con la participación de las autoridades del Ministerio de Salud Pública y Bienestar Social conjuntamente con el Programa de Salud con un total de 250 participantes.</w:t>
      </w:r>
    </w:p>
    <w:p w14:paraId="09EBAB10" w14:textId="77777777" w:rsidR="00374E4B" w:rsidRDefault="00374E4B" w:rsidP="00374E4B">
      <w:pPr>
        <w:spacing w:after="0"/>
        <w:jc w:val="both"/>
        <w:rPr>
          <w:bCs/>
          <w:color w:val="000000" w:themeColor="text1"/>
          <w:szCs w:val="20"/>
        </w:rPr>
      </w:pPr>
      <w:r w:rsidRPr="00D263FB">
        <w:rPr>
          <w:bCs/>
          <w:color w:val="000000" w:themeColor="text1"/>
          <w:szCs w:val="20"/>
        </w:rPr>
        <w:t>La inauguración del nuevo local de CEBINFA KO ‘EJÚ II en la ciudad de Paraguarí.</w:t>
      </w:r>
    </w:p>
    <w:p w14:paraId="6F37B1E6" w14:textId="77777777" w:rsidR="00786519" w:rsidRPr="00786519" w:rsidRDefault="00786519" w:rsidP="00374E4B">
      <w:pPr>
        <w:spacing w:after="0"/>
        <w:jc w:val="both"/>
        <w:rPr>
          <w:b/>
          <w:color w:val="000000"/>
          <w:sz w:val="10"/>
          <w:szCs w:val="10"/>
          <w:u w:val="single"/>
          <w:lang w:eastAsia="es-PY"/>
        </w:rPr>
      </w:pPr>
    </w:p>
    <w:p w14:paraId="310E4D58" w14:textId="77777777" w:rsidR="00374E4B" w:rsidRPr="005A31CA" w:rsidRDefault="00374E4B" w:rsidP="00786519">
      <w:pPr>
        <w:spacing w:after="0"/>
        <w:jc w:val="both"/>
        <w:rPr>
          <w:b/>
          <w:color w:val="000000"/>
          <w:szCs w:val="20"/>
          <w:lang w:eastAsia="es-PY"/>
        </w:rPr>
      </w:pPr>
      <w:r w:rsidRPr="005A31CA">
        <w:rPr>
          <w:b/>
          <w:color w:val="000000"/>
          <w:szCs w:val="20"/>
          <w:lang w:eastAsia="es-PY"/>
        </w:rPr>
        <w:t>INCREMENTO DE ACREDITACION DE ENTIDADES DE BIEN SOCIAL</w:t>
      </w:r>
    </w:p>
    <w:p w14:paraId="0CB9FC38" w14:textId="3E675CE4" w:rsidR="00374E4B" w:rsidRDefault="00374E4B" w:rsidP="00786519">
      <w:pPr>
        <w:spacing w:after="0" w:line="240" w:lineRule="auto"/>
        <w:contextualSpacing/>
        <w:jc w:val="both"/>
        <w:rPr>
          <w:b/>
          <w:color w:val="000000"/>
          <w:szCs w:val="20"/>
          <w:u w:val="single"/>
          <w:lang w:eastAsia="es-PY"/>
        </w:rPr>
      </w:pPr>
      <w:r w:rsidRPr="00FB293F">
        <w:rPr>
          <w:color w:val="000000"/>
          <w:szCs w:val="20"/>
          <w:lang w:eastAsia="es-PY"/>
        </w:rPr>
        <w:t xml:space="preserve">Dentro de las actividades realizadas en cumplimientos la Ley </w:t>
      </w:r>
      <w:r w:rsidR="00FC22A8" w:rsidRPr="00FB293F">
        <w:rPr>
          <w:color w:val="000000"/>
          <w:szCs w:val="20"/>
          <w:lang w:eastAsia="es-PY"/>
        </w:rPr>
        <w:t>N</w:t>
      </w:r>
      <w:r w:rsidR="00FC22A8">
        <w:rPr>
          <w:color w:val="000000"/>
          <w:szCs w:val="20"/>
          <w:lang w:eastAsia="es-PY"/>
        </w:rPr>
        <w:t>.</w:t>
      </w:r>
      <w:r w:rsidR="00FC22A8" w:rsidRPr="00FB293F">
        <w:rPr>
          <w:color w:val="000000"/>
          <w:szCs w:val="20"/>
          <w:lang w:eastAsia="es-PY"/>
        </w:rPr>
        <w:t>º</w:t>
      </w:r>
      <w:r w:rsidRPr="00FB293F">
        <w:rPr>
          <w:color w:val="000000"/>
          <w:szCs w:val="20"/>
          <w:lang w:eastAsia="es-PY"/>
        </w:rPr>
        <w:t xml:space="preserve"> 836/80 “Código Sanitario “, en concordancia con la Resolución S.G </w:t>
      </w:r>
      <w:r w:rsidR="00FC22A8" w:rsidRPr="00FB293F">
        <w:rPr>
          <w:color w:val="000000"/>
          <w:szCs w:val="20"/>
          <w:lang w:eastAsia="es-PY"/>
        </w:rPr>
        <w:t>N</w:t>
      </w:r>
      <w:r w:rsidR="00FC22A8">
        <w:rPr>
          <w:color w:val="000000"/>
          <w:szCs w:val="20"/>
          <w:lang w:eastAsia="es-PY"/>
        </w:rPr>
        <w:t>.</w:t>
      </w:r>
      <w:r w:rsidR="00FC22A8" w:rsidRPr="00FB293F">
        <w:rPr>
          <w:color w:val="000000"/>
          <w:szCs w:val="20"/>
          <w:lang w:eastAsia="es-PY"/>
        </w:rPr>
        <w:t>º</w:t>
      </w:r>
      <w:r w:rsidRPr="00FB293F">
        <w:rPr>
          <w:color w:val="000000"/>
          <w:szCs w:val="20"/>
          <w:lang w:eastAsia="es-PY"/>
        </w:rPr>
        <w:t xml:space="preserve"> 653/2022 y Resolución S.G.N</w:t>
      </w:r>
      <w:r w:rsidR="00FC22A8">
        <w:rPr>
          <w:color w:val="000000"/>
          <w:szCs w:val="20"/>
          <w:lang w:eastAsia="es-PY"/>
        </w:rPr>
        <w:t>.</w:t>
      </w:r>
      <w:r w:rsidRPr="00FB293F">
        <w:rPr>
          <w:color w:val="000000"/>
          <w:szCs w:val="20"/>
          <w:lang w:eastAsia="es-PY"/>
        </w:rPr>
        <w:t xml:space="preserve">° 119/20219; se incluyen las resoluciones de acreditaciones de registros, las revocaciones y las verificaciones In Situ para el control de funcionamiento de las Entidades Sin Fines de Lucro durante el Ejercicio Fiscal /2025, </w:t>
      </w:r>
      <w:r w:rsidRPr="00FB293F">
        <w:rPr>
          <w:b/>
          <w:color w:val="000000"/>
          <w:szCs w:val="20"/>
          <w:u w:val="single"/>
          <w:lang w:eastAsia="es-PY"/>
        </w:rPr>
        <w:t>se ha tenido una proyección anual de 583 y se ha logrado realizar 686 (262  Resoluciones  y 424 verificación ) de forma In situ con la finalidad de controlar sus funcionamientos, lo que representa el 117.66% anual.</w:t>
      </w:r>
    </w:p>
    <w:p w14:paraId="2B23E76F" w14:textId="77777777" w:rsidR="00786519" w:rsidRDefault="00786519" w:rsidP="00786519">
      <w:pPr>
        <w:spacing w:after="0" w:line="240" w:lineRule="auto"/>
        <w:contextualSpacing/>
        <w:jc w:val="both"/>
        <w:rPr>
          <w:b/>
          <w:color w:val="000000"/>
          <w:szCs w:val="20"/>
          <w:u w:val="single"/>
          <w:lang w:eastAsia="es-PY"/>
        </w:rPr>
      </w:pPr>
    </w:p>
    <w:p w14:paraId="63302E05" w14:textId="77777777" w:rsidR="00374E4B" w:rsidRPr="00786519" w:rsidRDefault="00374E4B" w:rsidP="00786519">
      <w:pPr>
        <w:tabs>
          <w:tab w:val="left" w:pos="0"/>
        </w:tabs>
        <w:spacing w:line="240" w:lineRule="atLeast"/>
        <w:jc w:val="both"/>
        <w:rPr>
          <w:b/>
          <w:bCs/>
          <w:szCs w:val="20"/>
          <w:lang w:eastAsia="es-ES"/>
        </w:rPr>
      </w:pPr>
      <w:r w:rsidRPr="00786519">
        <w:rPr>
          <w:b/>
          <w:bCs/>
          <w:szCs w:val="20"/>
          <w:lang w:eastAsia="es-ES"/>
        </w:rPr>
        <w:t>DIRECCIÓN GENERAL DE VIGILANCIA DE LA SALUD</w:t>
      </w:r>
    </w:p>
    <w:p w14:paraId="4A626FCD" w14:textId="77777777" w:rsidR="00374E4B" w:rsidRPr="001760C9" w:rsidRDefault="00374E4B" w:rsidP="00786519">
      <w:pPr>
        <w:spacing w:after="0" w:line="240" w:lineRule="auto"/>
        <w:contextualSpacing/>
        <w:jc w:val="both"/>
        <w:rPr>
          <w:rFonts w:eastAsia="Garamond"/>
          <w:b/>
          <w:bCs/>
          <w:szCs w:val="20"/>
        </w:rPr>
      </w:pPr>
      <w:r w:rsidRPr="001760C9">
        <w:rPr>
          <w:rFonts w:eastAsia="Garamond"/>
          <w:b/>
          <w:bCs/>
          <w:szCs w:val="20"/>
        </w:rPr>
        <w:t>Introducción de la inmunoprofilaxis contra el Virus Respiratorio Sincitial (VRS) con Nirsevimab.</w:t>
      </w:r>
    </w:p>
    <w:p w14:paraId="3D67DA39" w14:textId="77777777" w:rsidR="00374E4B" w:rsidRPr="001760C9" w:rsidRDefault="00374E4B" w:rsidP="00786519">
      <w:pPr>
        <w:spacing w:after="0" w:line="240" w:lineRule="auto"/>
        <w:jc w:val="both"/>
        <w:rPr>
          <w:rFonts w:eastAsia="Garamond"/>
          <w:szCs w:val="20"/>
        </w:rPr>
      </w:pPr>
      <w:r w:rsidRPr="001760C9">
        <w:rPr>
          <w:rFonts w:eastAsia="Garamond"/>
          <w:szCs w:val="20"/>
        </w:rPr>
        <w:t>El Virus Respiratorio Sincitial (VRS) es una de las mayores causas de infecciones respiratorias graves y mortalidad en niños menores de dos años en Paraguay, especialmente en otoño e invierno. Históricamente, la protección era limitada (Palivizumab para grupos reducidos). En 2025, el Ministerio de Salud, respaldado por el COTENAI, marcó un hito al introducir el Nirsevimab, un anticuerpo monoclonal de acción prolongada, ejecutando la primera campaña nacional de inmunización con criterios de equidad y evidencia científica.</w:t>
      </w:r>
    </w:p>
    <w:p w14:paraId="542B92E0" w14:textId="77777777" w:rsidR="00374E4B" w:rsidRPr="001760C9" w:rsidRDefault="00374E4B" w:rsidP="00786519">
      <w:pPr>
        <w:spacing w:after="0" w:line="240" w:lineRule="auto"/>
        <w:jc w:val="both"/>
        <w:rPr>
          <w:rFonts w:eastAsia="Garamond"/>
          <w:szCs w:val="20"/>
        </w:rPr>
      </w:pPr>
      <w:r w:rsidRPr="001760C9">
        <w:rPr>
          <w:rFonts w:eastAsia="Garamond"/>
          <w:szCs w:val="20"/>
        </w:rPr>
        <w:t>Dosis de Nirsevimab adquiridas y aplicadas.</w:t>
      </w:r>
    </w:p>
    <w:p w14:paraId="26AE70DF" w14:textId="77777777" w:rsidR="00374E4B" w:rsidRPr="001760C9" w:rsidRDefault="00374E4B" w:rsidP="00786519">
      <w:pPr>
        <w:spacing w:after="0" w:line="240" w:lineRule="auto"/>
        <w:jc w:val="both"/>
        <w:rPr>
          <w:rFonts w:eastAsia="Garamond"/>
          <w:szCs w:val="20"/>
        </w:rPr>
      </w:pPr>
      <w:r w:rsidRPr="001760C9">
        <w:rPr>
          <w:rFonts w:eastAsia="Garamond"/>
          <w:szCs w:val="20"/>
        </w:rPr>
        <w:t>Periodo de ejecución: Del 28 de marzo al 31 de julio de 2025.</w:t>
      </w:r>
    </w:p>
    <w:p w14:paraId="0D2CD828" w14:textId="77777777" w:rsidR="00374E4B" w:rsidRPr="001760C9" w:rsidRDefault="00374E4B" w:rsidP="00786519">
      <w:pPr>
        <w:spacing w:after="0" w:line="240" w:lineRule="auto"/>
        <w:jc w:val="both"/>
        <w:rPr>
          <w:rFonts w:eastAsia="Garamond"/>
          <w:szCs w:val="20"/>
        </w:rPr>
      </w:pPr>
      <w:r w:rsidRPr="001760C9">
        <w:rPr>
          <w:rFonts w:eastAsia="Garamond"/>
          <w:szCs w:val="20"/>
        </w:rPr>
        <w:t>Meta alcanzada: 37.578 niños inmunizados a nivel nacional.</w:t>
      </w:r>
    </w:p>
    <w:p w14:paraId="0C6D3267" w14:textId="77777777" w:rsidR="00374E4B" w:rsidRPr="001760C9" w:rsidRDefault="00374E4B" w:rsidP="00786519">
      <w:pPr>
        <w:spacing w:after="0" w:line="240" w:lineRule="auto"/>
        <w:jc w:val="both"/>
        <w:rPr>
          <w:rFonts w:eastAsia="Garamond"/>
          <w:szCs w:val="20"/>
        </w:rPr>
      </w:pPr>
      <w:r w:rsidRPr="001760C9">
        <w:rPr>
          <w:rFonts w:eastAsia="Garamond"/>
          <w:szCs w:val="20"/>
        </w:rPr>
        <w:t>Monitoreo: Uso del Registro de Vacunación Electrónico (RVE), que permitió captar a 15.888 niños (42,2%) tras el alta hospitalaria.</w:t>
      </w:r>
    </w:p>
    <w:p w14:paraId="543351EA" w14:textId="77777777" w:rsidR="00374E4B" w:rsidRPr="001760C9" w:rsidRDefault="00374E4B" w:rsidP="00786519">
      <w:pPr>
        <w:spacing w:after="0" w:line="240" w:lineRule="auto"/>
        <w:jc w:val="both"/>
        <w:rPr>
          <w:rFonts w:eastAsia="Garamond"/>
          <w:szCs w:val="20"/>
        </w:rPr>
      </w:pPr>
      <w:r w:rsidRPr="001760C9">
        <w:rPr>
          <w:rFonts w:eastAsia="Garamond"/>
          <w:szCs w:val="20"/>
        </w:rPr>
        <w:t>Población objetivo: Recién nacidos (cohorte enero-julio 2025) y lactantes de alto riesgo (prematuros, con neumopatías o cardiopatías congénitas de hasta 24 meses).</w:t>
      </w:r>
    </w:p>
    <w:p w14:paraId="4FDA5633" w14:textId="77777777" w:rsidR="00374E4B" w:rsidRPr="001760C9" w:rsidRDefault="00374E4B" w:rsidP="00786519">
      <w:pPr>
        <w:spacing w:after="0" w:line="240" w:lineRule="auto"/>
        <w:jc w:val="both"/>
        <w:rPr>
          <w:rFonts w:eastAsia="Garamond"/>
          <w:szCs w:val="20"/>
        </w:rPr>
      </w:pPr>
      <w:r w:rsidRPr="001760C9">
        <w:rPr>
          <w:rFonts w:eastAsia="Garamond"/>
          <w:szCs w:val="20"/>
        </w:rPr>
        <w:t>Cobertura geográfica: Alcance nacional mediante la red de hospitales materno-infantiles, generales, regionales, unidades de cuidados intensivos neonatales y vacunatorios del sistema público y conveniados.</w:t>
      </w:r>
    </w:p>
    <w:p w14:paraId="0629B45A" w14:textId="77777777" w:rsidR="00374E4B" w:rsidRPr="001760C9" w:rsidRDefault="00374E4B" w:rsidP="00786519">
      <w:pPr>
        <w:spacing w:after="0" w:line="240" w:lineRule="auto"/>
        <w:jc w:val="both"/>
        <w:rPr>
          <w:rFonts w:eastAsia="Garamond"/>
          <w:szCs w:val="20"/>
        </w:rPr>
      </w:pPr>
      <w:r w:rsidRPr="001760C9">
        <w:rPr>
          <w:rFonts w:eastAsia="Garamond"/>
          <w:szCs w:val="20"/>
        </w:rPr>
        <w:t>La estrategia permitió reducir el riesgo de hospitalizaciones, complicaciones graves y muertes asociadas al Virus Respiratorio Sincitial, contribuyendo además a disminuir la presión sobre los servicios hospitalarios durante el periodo de mayor circulación viral.</w:t>
      </w:r>
    </w:p>
    <w:p w14:paraId="08F8A1A9" w14:textId="77777777" w:rsidR="00374E4B" w:rsidRPr="001760C9" w:rsidRDefault="00374E4B" w:rsidP="00786519">
      <w:pPr>
        <w:spacing w:after="0" w:line="240" w:lineRule="auto"/>
        <w:jc w:val="both"/>
        <w:rPr>
          <w:rFonts w:eastAsia="Garamond"/>
          <w:szCs w:val="20"/>
        </w:rPr>
      </w:pPr>
      <w:r w:rsidRPr="001760C9">
        <w:rPr>
          <w:rFonts w:eastAsia="Garamond"/>
          <w:szCs w:val="20"/>
        </w:rPr>
        <w:t xml:space="preserve">Durante la cohorte inmunizada, no se registraron fallecimientos por VRS, y la tasa de eventos adversos fue baja, con notificaciones mayoritariamente leves y de resolución espontánea, lo que fortaleció la confianza de las familias y del personal de salud en la seguridad de la intervención. </w:t>
      </w:r>
    </w:p>
    <w:p w14:paraId="455E9661" w14:textId="77777777" w:rsidR="00374E4B" w:rsidRPr="001760C9" w:rsidRDefault="00374E4B" w:rsidP="00786519">
      <w:pPr>
        <w:spacing w:before="120" w:after="0" w:line="240" w:lineRule="auto"/>
        <w:contextualSpacing/>
        <w:jc w:val="both"/>
        <w:rPr>
          <w:rFonts w:eastAsia="Garamond"/>
          <w:b/>
          <w:bCs/>
          <w:szCs w:val="20"/>
        </w:rPr>
      </w:pPr>
      <w:r w:rsidRPr="001760C9">
        <w:rPr>
          <w:rFonts w:eastAsia="Garamond"/>
          <w:b/>
          <w:bCs/>
          <w:szCs w:val="20"/>
        </w:rPr>
        <w:t>Mejoría importante en el diagnóstico de casos de lepra y otras enfermedades desatendidas de la piel</w:t>
      </w:r>
    </w:p>
    <w:p w14:paraId="58BBD3BD" w14:textId="77777777" w:rsidR="00374E4B" w:rsidRDefault="00374E4B" w:rsidP="00786519">
      <w:pPr>
        <w:spacing w:after="0" w:line="240" w:lineRule="auto"/>
        <w:jc w:val="both"/>
        <w:rPr>
          <w:rFonts w:eastAsia="Garamond"/>
          <w:szCs w:val="20"/>
        </w:rPr>
      </w:pPr>
      <w:r w:rsidRPr="001760C9">
        <w:rPr>
          <w:rFonts w:eastAsia="Garamond"/>
          <w:szCs w:val="20"/>
        </w:rPr>
        <w:t xml:space="preserve">El logro se enmarca en la lucha contra enfermedades desatendidas en el Departamento de Concepción, específicamente a través del proyecto </w:t>
      </w:r>
      <w:r w:rsidRPr="001760C9">
        <w:rPr>
          <w:rFonts w:eastAsia="Garamond"/>
          <w:i/>
          <w:iCs/>
          <w:szCs w:val="20"/>
        </w:rPr>
        <w:t>“Búsqueda activa de casos de lepra y otras enfermedades desatendidas de la piel” y la ejecución de la VII Edición de Piré porä rekavo 2025"</w:t>
      </w:r>
      <w:r w:rsidRPr="001760C9">
        <w:rPr>
          <w:rFonts w:eastAsia="Garamond"/>
          <w:szCs w:val="20"/>
        </w:rPr>
        <w:t>. Esta iniciativa surgió para fortalecer el diagnóstico temprano y la atención quirúrgica especializada mediante viajes de monitoreo y supervisión en zonas estratégicas.</w:t>
      </w:r>
    </w:p>
    <w:p w14:paraId="2C2A6DF8" w14:textId="77777777" w:rsidR="00BE2300" w:rsidRDefault="00BE2300" w:rsidP="00786519">
      <w:pPr>
        <w:spacing w:after="0" w:line="240" w:lineRule="auto"/>
        <w:jc w:val="both"/>
        <w:rPr>
          <w:rFonts w:eastAsia="Garamond"/>
          <w:szCs w:val="20"/>
        </w:rPr>
      </w:pPr>
    </w:p>
    <w:p w14:paraId="391DEAF3" w14:textId="77777777" w:rsidR="00BE2300" w:rsidRDefault="00BE2300" w:rsidP="00786519">
      <w:pPr>
        <w:spacing w:after="0" w:line="240" w:lineRule="auto"/>
        <w:jc w:val="both"/>
        <w:rPr>
          <w:rFonts w:eastAsia="Garamond"/>
          <w:szCs w:val="20"/>
        </w:rPr>
      </w:pPr>
    </w:p>
    <w:p w14:paraId="4E25D766" w14:textId="77777777" w:rsidR="00BE2300" w:rsidRDefault="00BE2300" w:rsidP="00786519">
      <w:pPr>
        <w:spacing w:after="0" w:line="240" w:lineRule="auto"/>
        <w:jc w:val="both"/>
        <w:rPr>
          <w:rFonts w:eastAsia="Garamond"/>
          <w:szCs w:val="20"/>
        </w:rPr>
      </w:pPr>
    </w:p>
    <w:p w14:paraId="596AE341" w14:textId="77777777" w:rsidR="00BE2300" w:rsidRDefault="00BE2300" w:rsidP="00786519">
      <w:pPr>
        <w:spacing w:after="0" w:line="240" w:lineRule="auto"/>
        <w:jc w:val="both"/>
        <w:rPr>
          <w:rFonts w:eastAsia="Garamond"/>
          <w:szCs w:val="20"/>
        </w:rPr>
      </w:pPr>
    </w:p>
    <w:p w14:paraId="49BBB8BE" w14:textId="77777777" w:rsidR="00BE2300" w:rsidRDefault="00BE2300" w:rsidP="00786519">
      <w:pPr>
        <w:spacing w:after="0" w:line="240" w:lineRule="auto"/>
        <w:jc w:val="both"/>
        <w:rPr>
          <w:rFonts w:eastAsia="Garamond"/>
          <w:szCs w:val="20"/>
        </w:rPr>
      </w:pPr>
    </w:p>
    <w:p w14:paraId="5D843E5F" w14:textId="77777777" w:rsidR="00BE2300" w:rsidRDefault="00BE2300" w:rsidP="00786519">
      <w:pPr>
        <w:spacing w:after="0" w:line="240" w:lineRule="auto"/>
        <w:jc w:val="both"/>
        <w:rPr>
          <w:rFonts w:eastAsia="Garamond"/>
          <w:szCs w:val="20"/>
        </w:rPr>
      </w:pPr>
    </w:p>
    <w:p w14:paraId="4B8AA673" w14:textId="77777777" w:rsidR="00BE2300" w:rsidRDefault="00BE2300" w:rsidP="00786519">
      <w:pPr>
        <w:spacing w:after="0" w:line="240" w:lineRule="auto"/>
        <w:jc w:val="both"/>
        <w:rPr>
          <w:rFonts w:eastAsia="Garamond"/>
          <w:szCs w:val="20"/>
        </w:rPr>
      </w:pPr>
    </w:p>
    <w:p w14:paraId="7529D895" w14:textId="77777777" w:rsidR="00BE2300" w:rsidRDefault="00BE2300" w:rsidP="00786519">
      <w:pPr>
        <w:spacing w:after="0" w:line="240" w:lineRule="auto"/>
        <w:jc w:val="both"/>
        <w:rPr>
          <w:rFonts w:eastAsia="Garamond"/>
          <w:szCs w:val="20"/>
        </w:rPr>
      </w:pPr>
    </w:p>
    <w:p w14:paraId="3CD40BFE" w14:textId="77777777" w:rsidR="00BE2300" w:rsidRDefault="00BE2300" w:rsidP="00786519">
      <w:pPr>
        <w:spacing w:after="0" w:line="240" w:lineRule="auto"/>
        <w:jc w:val="both"/>
        <w:rPr>
          <w:rFonts w:eastAsia="Garamond"/>
          <w:szCs w:val="20"/>
        </w:rPr>
      </w:pPr>
    </w:p>
    <w:p w14:paraId="0E3E36D7" w14:textId="77777777" w:rsidR="00BE2300" w:rsidRDefault="00BE2300" w:rsidP="00786519">
      <w:pPr>
        <w:spacing w:after="0" w:line="240" w:lineRule="auto"/>
        <w:jc w:val="both"/>
        <w:rPr>
          <w:rFonts w:eastAsia="Garamond"/>
          <w:szCs w:val="20"/>
        </w:rPr>
      </w:pPr>
    </w:p>
    <w:p w14:paraId="0DECF535" w14:textId="77777777" w:rsidR="00BE2300" w:rsidRPr="001760C9" w:rsidRDefault="00BE2300" w:rsidP="00786519">
      <w:pPr>
        <w:spacing w:after="0" w:line="240" w:lineRule="auto"/>
        <w:jc w:val="both"/>
        <w:rPr>
          <w:rFonts w:eastAsia="Garamond"/>
          <w:szCs w:val="20"/>
        </w:rPr>
      </w:pPr>
    </w:p>
    <w:p w14:paraId="38B6E4F5" w14:textId="77777777" w:rsidR="00374E4B" w:rsidRPr="001760C9" w:rsidRDefault="00374E4B" w:rsidP="00374E4B">
      <w:pPr>
        <w:spacing w:after="0" w:line="240" w:lineRule="auto"/>
        <w:jc w:val="both"/>
        <w:rPr>
          <w:rFonts w:eastAsia="Garamond"/>
          <w:szCs w:val="20"/>
        </w:rPr>
      </w:pPr>
      <w:r w:rsidRPr="001760C9">
        <w:rPr>
          <w:rFonts w:eastAsia="Garamond"/>
          <w:szCs w:val="20"/>
        </w:rPr>
        <w:t>El éxito de la intervención se cuantifica mediante:</w:t>
      </w:r>
    </w:p>
    <w:p w14:paraId="5B7A690A" w14:textId="77777777" w:rsidR="00374E4B" w:rsidRPr="001760C9" w:rsidRDefault="00374E4B" w:rsidP="00374E4B">
      <w:pPr>
        <w:spacing w:after="0" w:line="240" w:lineRule="auto"/>
        <w:jc w:val="both"/>
        <w:rPr>
          <w:rFonts w:eastAsia="Garamond"/>
          <w:szCs w:val="20"/>
        </w:rPr>
      </w:pPr>
      <w:r w:rsidRPr="001760C9">
        <w:rPr>
          <w:rFonts w:eastAsia="Garamond"/>
          <w:szCs w:val="20"/>
        </w:rPr>
        <w:t>Diagnóstico: Incremento de más del 60% en la detección de casos de lepra.</w:t>
      </w:r>
    </w:p>
    <w:p w14:paraId="021C7CE7" w14:textId="77777777" w:rsidR="00374E4B" w:rsidRPr="001760C9" w:rsidRDefault="00374E4B" w:rsidP="00374E4B">
      <w:pPr>
        <w:spacing w:after="0" w:line="240" w:lineRule="auto"/>
        <w:jc w:val="both"/>
        <w:rPr>
          <w:rFonts w:eastAsia="Garamond"/>
          <w:szCs w:val="20"/>
        </w:rPr>
      </w:pPr>
      <w:r w:rsidRPr="001760C9">
        <w:rPr>
          <w:rFonts w:eastAsia="Garamond"/>
          <w:szCs w:val="20"/>
        </w:rPr>
        <w:t>Atención clínica: Más de 600 personas atendidas en consultas de piel.</w:t>
      </w:r>
    </w:p>
    <w:p w14:paraId="19F05C59" w14:textId="77777777" w:rsidR="00374E4B" w:rsidRPr="001760C9" w:rsidRDefault="00374E4B" w:rsidP="00374E4B">
      <w:pPr>
        <w:spacing w:after="0" w:line="240" w:lineRule="auto"/>
        <w:jc w:val="both"/>
        <w:rPr>
          <w:rFonts w:eastAsia="Garamond"/>
          <w:szCs w:val="20"/>
        </w:rPr>
      </w:pPr>
      <w:r w:rsidRPr="001760C9">
        <w:rPr>
          <w:rFonts w:eastAsia="Garamond"/>
          <w:szCs w:val="20"/>
        </w:rPr>
        <w:t>Resolución quirúrgica: 40 intervenciones por cáncer de piel.</w:t>
      </w:r>
    </w:p>
    <w:p w14:paraId="35137F2D" w14:textId="77777777" w:rsidR="00374E4B" w:rsidRPr="001760C9" w:rsidRDefault="00374E4B" w:rsidP="00374E4B">
      <w:pPr>
        <w:spacing w:after="0" w:line="240" w:lineRule="auto"/>
        <w:jc w:val="both"/>
        <w:rPr>
          <w:rFonts w:eastAsia="Garamond"/>
          <w:szCs w:val="20"/>
        </w:rPr>
      </w:pPr>
      <w:r w:rsidRPr="001760C9">
        <w:rPr>
          <w:rFonts w:eastAsia="Garamond"/>
          <w:szCs w:val="20"/>
        </w:rPr>
        <w:t>Servicios auxiliares: Realización de biopsias, micología y bacteriología.</w:t>
      </w:r>
    </w:p>
    <w:p w14:paraId="4802BEB5" w14:textId="77777777" w:rsidR="00374E4B" w:rsidRPr="001760C9" w:rsidRDefault="00374E4B" w:rsidP="00374E4B">
      <w:pPr>
        <w:spacing w:after="0" w:line="240" w:lineRule="auto"/>
        <w:jc w:val="both"/>
        <w:rPr>
          <w:rFonts w:eastAsia="Garamond"/>
          <w:szCs w:val="20"/>
        </w:rPr>
      </w:pPr>
      <w:r w:rsidRPr="001760C9">
        <w:rPr>
          <w:rFonts w:eastAsia="Garamond"/>
          <w:szCs w:val="20"/>
        </w:rPr>
        <w:t>Capacitación: Más de 100 profesionales de salud formados en el área.</w:t>
      </w:r>
    </w:p>
    <w:p w14:paraId="2C5B0C08" w14:textId="77777777" w:rsidR="00374E4B" w:rsidRPr="001760C9" w:rsidRDefault="00374E4B" w:rsidP="00374E4B">
      <w:pPr>
        <w:spacing w:after="0" w:line="240" w:lineRule="auto"/>
        <w:jc w:val="both"/>
        <w:rPr>
          <w:rFonts w:eastAsia="Garamond"/>
          <w:szCs w:val="20"/>
        </w:rPr>
      </w:pPr>
      <w:r w:rsidRPr="001760C9">
        <w:rPr>
          <w:rFonts w:eastAsia="Garamond"/>
          <w:szCs w:val="20"/>
        </w:rPr>
        <w:t>Beneficiarios directos: Ciudadanos con patologías de la piel, especialmente aquellos con sospecha de lepra o cáncer de piel, y el personal sanitario local que recibió capacitación técnica.</w:t>
      </w:r>
    </w:p>
    <w:p w14:paraId="3BE9666C" w14:textId="77777777" w:rsidR="00374E4B" w:rsidRPr="001760C9" w:rsidRDefault="00374E4B" w:rsidP="00374E4B">
      <w:pPr>
        <w:spacing w:after="0" w:line="240" w:lineRule="auto"/>
        <w:jc w:val="both"/>
        <w:rPr>
          <w:rFonts w:eastAsia="Garamond"/>
          <w:szCs w:val="20"/>
        </w:rPr>
      </w:pPr>
      <w:r w:rsidRPr="001760C9">
        <w:rPr>
          <w:rFonts w:eastAsia="Garamond"/>
          <w:szCs w:val="20"/>
        </w:rPr>
        <w:t>Localidad: Departamento de Concepción, Paraguay.</w:t>
      </w:r>
    </w:p>
    <w:p w14:paraId="040B1D12" w14:textId="77777777" w:rsidR="00374E4B" w:rsidRPr="001760C9" w:rsidRDefault="00374E4B" w:rsidP="00374E4B">
      <w:pPr>
        <w:spacing w:after="0" w:line="240" w:lineRule="auto"/>
        <w:jc w:val="both"/>
        <w:rPr>
          <w:rFonts w:eastAsia="Garamond"/>
          <w:szCs w:val="20"/>
        </w:rPr>
      </w:pPr>
      <w:r w:rsidRPr="001760C9">
        <w:rPr>
          <w:rFonts w:eastAsia="Garamond"/>
          <w:szCs w:val="20"/>
        </w:rPr>
        <w:t>Permitió que más de 600 personas del departamento de Concepción recibieran atención dermatológica y quirúrgica que de otro modo sería difícil de obtener por las barretas de acceso a los servicios de salud especializados.</w:t>
      </w:r>
    </w:p>
    <w:p w14:paraId="3966FB3B" w14:textId="77777777" w:rsidR="00374E4B" w:rsidRPr="007C33B2" w:rsidRDefault="00374E4B" w:rsidP="00374E4B">
      <w:pPr>
        <w:spacing w:after="0" w:line="240" w:lineRule="auto"/>
        <w:contextualSpacing/>
        <w:jc w:val="both"/>
        <w:rPr>
          <w:rFonts w:eastAsia="Garamond"/>
          <w:b/>
          <w:bCs/>
          <w:szCs w:val="20"/>
        </w:rPr>
      </w:pPr>
      <w:r w:rsidRPr="007C33B2">
        <w:rPr>
          <w:rFonts w:eastAsia="Garamond"/>
          <w:b/>
          <w:bCs/>
          <w:szCs w:val="20"/>
        </w:rPr>
        <w:t>Detección de casos presuntivos y confirmados de Tuberculosis en personas privadas de libertad (PPL):</w:t>
      </w:r>
    </w:p>
    <w:p w14:paraId="3EC0C90C" w14:textId="77777777" w:rsidR="00374E4B" w:rsidRDefault="00374E4B" w:rsidP="00374E4B">
      <w:pPr>
        <w:spacing w:after="0" w:line="240" w:lineRule="auto"/>
        <w:jc w:val="both"/>
        <w:rPr>
          <w:rFonts w:eastAsia="Garamond"/>
          <w:szCs w:val="20"/>
        </w:rPr>
      </w:pPr>
      <w:r w:rsidRPr="001760C9">
        <w:rPr>
          <w:rFonts w:eastAsia="Garamond"/>
          <w:szCs w:val="20"/>
        </w:rPr>
        <w:t>El Programa Nacional de Control de la Tuberculosis (PNCT) ha implementado una estrategia de búsqueda activa y pasiva en Personas Privadas de Libertad (PPL), integrando tecnología avanzada de radiografía digital con detección asistida por computadora (Rx+CAD). Este esfuerzo conjunto entre el Ministerio de Salud (DGVS) y el Ministerio de Justicia busca abordar la alta incidencia de TB en contextos de encierro, logrando en 2025 un incremento del 50% en las evaluaciones y del 40% en los diagnósticos detectados en comparación con el año anterior.</w:t>
      </w:r>
    </w:p>
    <w:p w14:paraId="04ED9732" w14:textId="77777777" w:rsidR="00374E4B" w:rsidRPr="001760C9" w:rsidRDefault="00374E4B" w:rsidP="00374E4B">
      <w:pPr>
        <w:spacing w:after="0" w:line="240" w:lineRule="auto"/>
        <w:jc w:val="both"/>
        <w:rPr>
          <w:rFonts w:eastAsia="Garamond"/>
          <w:szCs w:val="20"/>
        </w:rPr>
      </w:pPr>
      <w:r w:rsidRPr="001760C9">
        <w:rPr>
          <w:rFonts w:eastAsia="Garamond"/>
          <w:szCs w:val="20"/>
        </w:rPr>
        <w:t>Efectividad diagnóstica: 1.584 casos detectados en el último periodo.</w:t>
      </w:r>
    </w:p>
    <w:p w14:paraId="29CE17BB" w14:textId="77777777" w:rsidR="00374E4B" w:rsidRPr="001760C9" w:rsidRDefault="00374E4B" w:rsidP="00374E4B">
      <w:pPr>
        <w:spacing w:after="0" w:line="240" w:lineRule="auto"/>
        <w:jc w:val="both"/>
        <w:rPr>
          <w:rFonts w:eastAsia="Garamond"/>
          <w:szCs w:val="20"/>
        </w:rPr>
      </w:pPr>
      <w:r w:rsidRPr="001760C9">
        <w:rPr>
          <w:rFonts w:eastAsia="Garamond"/>
          <w:szCs w:val="20"/>
        </w:rPr>
        <w:t>Rendimiento tecnológico: 11.896 estudios Rx+CAD realizados, con un 35% de hallazgos anormales.</w:t>
      </w:r>
    </w:p>
    <w:p w14:paraId="62712E1C" w14:textId="77777777" w:rsidR="00374E4B" w:rsidRPr="001760C9" w:rsidRDefault="00374E4B" w:rsidP="00374E4B">
      <w:pPr>
        <w:spacing w:after="0" w:line="240" w:lineRule="auto"/>
        <w:jc w:val="both"/>
        <w:rPr>
          <w:rFonts w:eastAsia="Garamond"/>
          <w:szCs w:val="20"/>
        </w:rPr>
      </w:pPr>
      <w:r w:rsidRPr="001760C9">
        <w:rPr>
          <w:rFonts w:eastAsia="Garamond"/>
          <w:szCs w:val="20"/>
        </w:rPr>
        <w:t>Población Beneficiaria: Personas Privadas de Libertad (PPL) en situación de vulnerabilidad, incluyendo servicios adicionales para VIH, Sífilis y Hepatitis B y C.</w:t>
      </w:r>
    </w:p>
    <w:p w14:paraId="2B02C576" w14:textId="77777777" w:rsidR="00374E4B" w:rsidRPr="001760C9" w:rsidRDefault="00374E4B" w:rsidP="00374E4B">
      <w:pPr>
        <w:spacing w:after="0" w:line="240" w:lineRule="auto"/>
        <w:jc w:val="both"/>
        <w:rPr>
          <w:rFonts w:eastAsia="Garamond"/>
          <w:szCs w:val="20"/>
        </w:rPr>
      </w:pPr>
      <w:r w:rsidRPr="001760C9">
        <w:rPr>
          <w:rFonts w:eastAsia="Garamond"/>
          <w:szCs w:val="20"/>
        </w:rPr>
        <w:t>Cobertura Geográfica: Alcance nacional en 20 centros penitenciarios distribuidos en 10 departamentos del país.</w:t>
      </w:r>
    </w:p>
    <w:p w14:paraId="245DF8D1" w14:textId="77777777" w:rsidR="00374E4B" w:rsidRPr="001760C9" w:rsidRDefault="00374E4B" w:rsidP="00374E4B">
      <w:pPr>
        <w:spacing w:after="0" w:line="240" w:lineRule="auto"/>
        <w:jc w:val="both"/>
        <w:rPr>
          <w:rFonts w:eastAsia="Garamond"/>
          <w:szCs w:val="20"/>
        </w:rPr>
      </w:pPr>
      <w:r w:rsidRPr="001760C9">
        <w:rPr>
          <w:rFonts w:eastAsia="Garamond"/>
          <w:szCs w:val="20"/>
        </w:rPr>
        <w:t>Los casos en PPL representan el 30% del total nacional, con una incidencia crítica de 8.000 casos por 100.000 habitantes. La detección temprana reduce la carga de enfermedad a nivel país y optimiza el uso de recursos al prevenir complicaciones graves.</w:t>
      </w:r>
    </w:p>
    <w:p w14:paraId="441F1F33" w14:textId="77777777" w:rsidR="00374E4B" w:rsidRPr="001760C9" w:rsidRDefault="00374E4B" w:rsidP="00374E4B">
      <w:pPr>
        <w:spacing w:after="0" w:line="240" w:lineRule="auto"/>
        <w:jc w:val="both"/>
        <w:rPr>
          <w:rFonts w:eastAsia="Garamond"/>
          <w:szCs w:val="20"/>
        </w:rPr>
      </w:pPr>
      <w:r w:rsidRPr="001760C9">
        <w:rPr>
          <w:rFonts w:eastAsia="Garamond"/>
          <w:szCs w:val="20"/>
        </w:rPr>
        <w:t>Optimización del gasto público mediante el financiamiento del PGN para logística, complementado con apoyo técnico/operativo de la OPS y provisión de insumos por el MSPBS.</w:t>
      </w:r>
    </w:p>
    <w:p w14:paraId="78FCC6FC" w14:textId="77777777" w:rsidR="00374E4B" w:rsidRPr="001760C9" w:rsidRDefault="00374E4B" w:rsidP="00374E4B">
      <w:pPr>
        <w:spacing w:after="0" w:line="240" w:lineRule="auto"/>
        <w:jc w:val="both"/>
        <w:rPr>
          <w:rFonts w:eastAsia="Garamond"/>
          <w:szCs w:val="20"/>
        </w:rPr>
      </w:pPr>
      <w:r w:rsidRPr="001760C9">
        <w:rPr>
          <w:rFonts w:eastAsia="Garamond"/>
          <w:szCs w:val="20"/>
        </w:rPr>
        <w:t>Lograr una cobertura del 100% de la población penitenciaria de forma anual mediante el uso masivo de Rx+CAD. Al mismo tiempo que mantener la logística financiera (viáticos, combustible y equipos) para asegurar la presencia permanente en territorio.</w:t>
      </w:r>
    </w:p>
    <w:p w14:paraId="146A9B20" w14:textId="77777777" w:rsidR="00374E4B" w:rsidRPr="005F4490" w:rsidRDefault="00374E4B" w:rsidP="00374E4B">
      <w:pPr>
        <w:spacing w:after="0" w:line="240" w:lineRule="auto"/>
        <w:contextualSpacing/>
        <w:jc w:val="both"/>
        <w:rPr>
          <w:rFonts w:eastAsia="Garamond"/>
          <w:b/>
          <w:bCs/>
          <w:szCs w:val="20"/>
        </w:rPr>
      </w:pPr>
      <w:r w:rsidRPr="005F4490">
        <w:rPr>
          <w:rFonts w:eastAsia="Garamond"/>
          <w:b/>
          <w:bCs/>
          <w:szCs w:val="20"/>
        </w:rPr>
        <w:t>Habilitación del Laboratorio de Rabia del Programa Nacional de Contro</w:t>
      </w:r>
      <w:r>
        <w:rPr>
          <w:rFonts w:eastAsia="Garamond"/>
          <w:b/>
          <w:bCs/>
          <w:szCs w:val="20"/>
        </w:rPr>
        <w:t>l</w:t>
      </w:r>
      <w:r w:rsidRPr="005F4490">
        <w:rPr>
          <w:rFonts w:eastAsia="Garamond"/>
          <w:b/>
          <w:bCs/>
          <w:szCs w:val="20"/>
        </w:rPr>
        <w:t xml:space="preserve"> de Zoonosis y Centro Antirrábico Nacional para el procesamiento de muestras animales</w:t>
      </w:r>
    </w:p>
    <w:p w14:paraId="58CDCB8D" w14:textId="77777777" w:rsidR="00374E4B" w:rsidRPr="005F4490" w:rsidRDefault="00374E4B" w:rsidP="00374E4B">
      <w:pPr>
        <w:spacing w:after="0" w:line="240" w:lineRule="auto"/>
        <w:jc w:val="both"/>
        <w:rPr>
          <w:rFonts w:eastAsia="Garamond"/>
          <w:szCs w:val="20"/>
        </w:rPr>
      </w:pPr>
      <w:r w:rsidRPr="001760C9">
        <w:rPr>
          <w:rFonts w:eastAsia="Garamond"/>
          <w:szCs w:val="20"/>
        </w:rPr>
        <w:t>Previamente, el Laboratorio de Rabia del Programa Nacional de Control de Zoonosis y Centro Antirrábico Nacional (PNCZCAN) presentaba limitaciones normativas para el procesamiento oficial de muestras animales. En el marco del fortalecimiento de la vigilancia de la rabia, el laboratorio fue habilitado oficialmente por el Servicio Nacional de Calidad y Salud Animal (SENACSA), tras cumplir con los requisitos técnicos, de bioseguridad y de calidad exigidos por la normativa vigente. Esta habilitación permite al PNCZCAN procesar directamente muestras animales para el diagnóstico de rabia, optimizando los tiempos de confirmación y fortaleciendo la capacidad diagnóstica nacional.</w:t>
      </w:r>
    </w:p>
    <w:p w14:paraId="6A06D183" w14:textId="77777777" w:rsidR="00374E4B" w:rsidRDefault="00374E4B" w:rsidP="00374E4B">
      <w:pPr>
        <w:spacing w:after="0" w:line="240" w:lineRule="auto"/>
        <w:jc w:val="both"/>
        <w:rPr>
          <w:rFonts w:eastAsia="Garamond"/>
          <w:szCs w:val="20"/>
        </w:rPr>
      </w:pPr>
      <w:r w:rsidRPr="001760C9">
        <w:rPr>
          <w:rFonts w:eastAsia="Garamond"/>
          <w:szCs w:val="20"/>
        </w:rPr>
        <w:t>Certificación oficial emitida por SENACSA.</w:t>
      </w:r>
    </w:p>
    <w:p w14:paraId="22A08102" w14:textId="77777777" w:rsidR="00374E4B" w:rsidRDefault="00374E4B" w:rsidP="00374E4B">
      <w:pPr>
        <w:spacing w:after="0" w:line="240" w:lineRule="auto"/>
        <w:jc w:val="both"/>
        <w:rPr>
          <w:rFonts w:eastAsia="Garamond"/>
          <w:szCs w:val="20"/>
        </w:rPr>
      </w:pPr>
      <w:r w:rsidRPr="001760C9">
        <w:rPr>
          <w:rFonts w:eastAsia="Garamond"/>
          <w:szCs w:val="20"/>
        </w:rPr>
        <w:t>Beneficiarios: Servicios de salud humana y animal, personal técnico especializado, las 18 regiones sanitarias y la ciudadanía en general.</w:t>
      </w:r>
    </w:p>
    <w:p w14:paraId="2D35A560" w14:textId="77777777" w:rsidR="00BE2300" w:rsidRDefault="00BE2300" w:rsidP="00374E4B">
      <w:pPr>
        <w:spacing w:after="0" w:line="240" w:lineRule="auto"/>
        <w:jc w:val="both"/>
        <w:rPr>
          <w:rFonts w:eastAsia="Garamond"/>
          <w:szCs w:val="20"/>
        </w:rPr>
      </w:pPr>
    </w:p>
    <w:p w14:paraId="2FE26553" w14:textId="77777777" w:rsidR="00BE2300" w:rsidRDefault="00BE2300" w:rsidP="00374E4B">
      <w:pPr>
        <w:spacing w:after="0" w:line="240" w:lineRule="auto"/>
        <w:jc w:val="both"/>
        <w:rPr>
          <w:rFonts w:eastAsia="Garamond"/>
          <w:szCs w:val="20"/>
        </w:rPr>
      </w:pPr>
    </w:p>
    <w:p w14:paraId="48BF1FA8" w14:textId="77777777" w:rsidR="00BE2300" w:rsidRDefault="00BE2300" w:rsidP="00374E4B">
      <w:pPr>
        <w:spacing w:after="0" w:line="240" w:lineRule="auto"/>
        <w:jc w:val="both"/>
        <w:rPr>
          <w:rFonts w:eastAsia="Garamond"/>
          <w:szCs w:val="20"/>
        </w:rPr>
      </w:pPr>
    </w:p>
    <w:p w14:paraId="7789AE06" w14:textId="77777777" w:rsidR="00BE2300" w:rsidRDefault="00BE2300" w:rsidP="00374E4B">
      <w:pPr>
        <w:spacing w:after="0" w:line="240" w:lineRule="auto"/>
        <w:jc w:val="both"/>
        <w:rPr>
          <w:rFonts w:eastAsia="Garamond"/>
          <w:szCs w:val="20"/>
        </w:rPr>
      </w:pPr>
    </w:p>
    <w:p w14:paraId="4FE783DA" w14:textId="77777777" w:rsidR="00BE2300" w:rsidRDefault="00BE2300" w:rsidP="00374E4B">
      <w:pPr>
        <w:spacing w:after="0" w:line="240" w:lineRule="auto"/>
        <w:jc w:val="both"/>
        <w:rPr>
          <w:rFonts w:eastAsia="Garamond"/>
          <w:szCs w:val="20"/>
        </w:rPr>
      </w:pPr>
    </w:p>
    <w:p w14:paraId="21091FFF" w14:textId="77777777" w:rsidR="00BE2300" w:rsidRDefault="00BE2300" w:rsidP="00374E4B">
      <w:pPr>
        <w:spacing w:after="0" w:line="240" w:lineRule="auto"/>
        <w:jc w:val="both"/>
        <w:rPr>
          <w:rFonts w:eastAsia="Garamond"/>
          <w:szCs w:val="20"/>
        </w:rPr>
      </w:pPr>
    </w:p>
    <w:p w14:paraId="5B43E195" w14:textId="77777777" w:rsidR="00BE2300" w:rsidRDefault="00BE2300" w:rsidP="00374E4B">
      <w:pPr>
        <w:spacing w:after="0" w:line="240" w:lineRule="auto"/>
        <w:jc w:val="both"/>
        <w:rPr>
          <w:rFonts w:eastAsia="Garamond"/>
          <w:szCs w:val="20"/>
        </w:rPr>
      </w:pPr>
    </w:p>
    <w:p w14:paraId="546BF9A0" w14:textId="77777777" w:rsidR="00BE2300" w:rsidRDefault="00BE2300" w:rsidP="00374E4B">
      <w:pPr>
        <w:spacing w:after="0" w:line="240" w:lineRule="auto"/>
        <w:jc w:val="both"/>
        <w:rPr>
          <w:rFonts w:eastAsia="Garamond"/>
          <w:szCs w:val="20"/>
        </w:rPr>
      </w:pPr>
    </w:p>
    <w:p w14:paraId="38AA98EF" w14:textId="77777777" w:rsidR="00BE2300" w:rsidRDefault="00BE2300" w:rsidP="00374E4B">
      <w:pPr>
        <w:spacing w:after="0" w:line="240" w:lineRule="auto"/>
        <w:jc w:val="both"/>
        <w:rPr>
          <w:rFonts w:eastAsia="Garamond"/>
          <w:szCs w:val="20"/>
        </w:rPr>
      </w:pPr>
    </w:p>
    <w:p w14:paraId="0B78F99C" w14:textId="77777777" w:rsidR="00BE2300" w:rsidRPr="001760C9" w:rsidRDefault="00BE2300" w:rsidP="00374E4B">
      <w:pPr>
        <w:spacing w:after="0" w:line="240" w:lineRule="auto"/>
        <w:jc w:val="both"/>
        <w:rPr>
          <w:rFonts w:eastAsia="Garamond"/>
          <w:szCs w:val="20"/>
        </w:rPr>
      </w:pPr>
    </w:p>
    <w:p w14:paraId="0281EB38" w14:textId="77777777" w:rsidR="00374E4B" w:rsidRDefault="00374E4B" w:rsidP="00374E4B">
      <w:pPr>
        <w:spacing w:after="0" w:line="240" w:lineRule="auto"/>
        <w:jc w:val="both"/>
        <w:rPr>
          <w:rFonts w:eastAsia="Garamond"/>
          <w:szCs w:val="20"/>
        </w:rPr>
      </w:pPr>
      <w:r w:rsidRPr="001760C9">
        <w:rPr>
          <w:rFonts w:eastAsia="Garamond"/>
          <w:szCs w:val="20"/>
        </w:rPr>
        <w:t>Alcance nacional, con impacto en todo el territorio paraguayo.</w:t>
      </w:r>
    </w:p>
    <w:p w14:paraId="4D296D61" w14:textId="77777777" w:rsidR="00374E4B" w:rsidRDefault="00374E4B" w:rsidP="00374E4B">
      <w:pPr>
        <w:spacing w:after="0" w:line="240" w:lineRule="auto"/>
        <w:jc w:val="both"/>
        <w:rPr>
          <w:rFonts w:eastAsia="Garamond"/>
          <w:szCs w:val="20"/>
        </w:rPr>
      </w:pPr>
      <w:r w:rsidRPr="001760C9">
        <w:rPr>
          <w:rFonts w:eastAsia="Garamond"/>
          <w:szCs w:val="20"/>
        </w:rPr>
        <w:t>Mejora sustantiva en la vigilancia y prevención de zoonosis. Asegurando un acceso a diagnósticos rápidos y oficiales que permiten acciones de bloqueo epidemiológico eficaces en las comunidades.</w:t>
      </w:r>
    </w:p>
    <w:p w14:paraId="4955F842" w14:textId="6B359347" w:rsidR="00374E4B" w:rsidRPr="00E86614" w:rsidRDefault="00374E4B" w:rsidP="00374E4B">
      <w:pPr>
        <w:spacing w:after="0" w:line="240" w:lineRule="auto"/>
        <w:jc w:val="both"/>
        <w:rPr>
          <w:rFonts w:eastAsia="Garamond"/>
          <w:szCs w:val="20"/>
        </w:rPr>
      </w:pPr>
      <w:r w:rsidRPr="00E86614">
        <w:rPr>
          <w:rFonts w:eastAsia="Garamond"/>
          <w:szCs w:val="20"/>
        </w:rPr>
        <w:t>Fortalecimiento del capital humano estratégico mediante la graduación de nuevas cohortes del Programa de Entrenamiento en Epidemiología de Campo (PEEC-PY) en sus niveles básico e intermedio. Esta iniciativa busca descentralizar la capacidad de respuesta sanitaria, dotando a las regiones de especialistas capacitados en la detección, investigación y control de brotes bajo enfoques modernos como "Una Sola Salud" (integración de salud humana y ambiental</w:t>
      </w:r>
      <w:r w:rsidR="00786519" w:rsidRPr="00E86614">
        <w:rPr>
          <w:rFonts w:eastAsia="Garamond"/>
          <w:szCs w:val="20"/>
        </w:rPr>
        <w:t>). Nivel</w:t>
      </w:r>
      <w:r w:rsidRPr="00E86614">
        <w:rPr>
          <w:rFonts w:eastAsia="Garamond"/>
          <w:szCs w:val="20"/>
        </w:rPr>
        <w:t xml:space="preserve"> Básico: Dos (2) cohortes finalizadas con 25 nuevos graduados, logrando una cobertura del 89% del territorio (16 de 18 regiones sanitarias).</w:t>
      </w:r>
    </w:p>
    <w:p w14:paraId="0221DA8A" w14:textId="77777777" w:rsidR="00374E4B" w:rsidRPr="00E86614" w:rsidRDefault="00374E4B" w:rsidP="00374E4B">
      <w:pPr>
        <w:spacing w:after="0" w:line="240" w:lineRule="auto"/>
        <w:jc w:val="both"/>
        <w:rPr>
          <w:rFonts w:eastAsia="Garamond"/>
          <w:szCs w:val="20"/>
          <w:u w:val="single"/>
        </w:rPr>
      </w:pPr>
      <w:r w:rsidRPr="00E86614">
        <w:rPr>
          <w:rFonts w:eastAsia="Garamond"/>
          <w:szCs w:val="20"/>
        </w:rPr>
        <w:t>Nivel Intermedio: Finalización de la II Cohorte, con representantes de 5 regiones sanitarias estratégicas.</w:t>
      </w:r>
    </w:p>
    <w:p w14:paraId="67C99C73" w14:textId="77777777" w:rsidR="00374E4B" w:rsidRPr="00E86614" w:rsidRDefault="00374E4B" w:rsidP="00374E4B">
      <w:pPr>
        <w:spacing w:after="0" w:line="240" w:lineRule="auto"/>
        <w:jc w:val="both"/>
        <w:rPr>
          <w:rFonts w:eastAsia="Garamond"/>
          <w:szCs w:val="20"/>
        </w:rPr>
      </w:pPr>
      <w:r w:rsidRPr="00E86614">
        <w:rPr>
          <w:rFonts w:eastAsia="Garamond"/>
          <w:szCs w:val="20"/>
        </w:rPr>
        <w:t>Beneficiarios directos: Profesionales de la red de salud pública y equipos de salud ambiental.</w:t>
      </w:r>
    </w:p>
    <w:p w14:paraId="3C83CA16" w14:textId="77777777" w:rsidR="00374E4B" w:rsidRDefault="00374E4B" w:rsidP="00374E4B">
      <w:pPr>
        <w:spacing w:after="0" w:line="240" w:lineRule="auto"/>
        <w:jc w:val="both"/>
        <w:rPr>
          <w:rFonts w:eastAsia="Garamond"/>
          <w:szCs w:val="20"/>
        </w:rPr>
      </w:pPr>
      <w:r w:rsidRPr="00E86614">
        <w:rPr>
          <w:rFonts w:eastAsia="Garamond"/>
          <w:szCs w:val="20"/>
        </w:rPr>
        <w:t>Nivel Básico: Impacto en 16 regiones, destacando la incorporación de Caaguazú y Ñeembucú.</w:t>
      </w:r>
    </w:p>
    <w:p w14:paraId="26EC8476" w14:textId="77777777" w:rsidR="00374E4B" w:rsidRPr="00E86614" w:rsidRDefault="00374E4B" w:rsidP="00374E4B">
      <w:pPr>
        <w:spacing w:after="0" w:line="240" w:lineRule="auto"/>
        <w:jc w:val="both"/>
        <w:rPr>
          <w:rFonts w:eastAsia="Garamond"/>
          <w:szCs w:val="20"/>
        </w:rPr>
      </w:pPr>
      <w:r w:rsidRPr="00E86614">
        <w:rPr>
          <w:rFonts w:eastAsia="Garamond"/>
          <w:szCs w:val="20"/>
        </w:rPr>
        <w:t>Nivel Intermedio: Central, Guairá, Itapúa, Concepción y Alto Paraná.</w:t>
      </w:r>
    </w:p>
    <w:p w14:paraId="5AA26DDE" w14:textId="77777777" w:rsidR="00374E4B" w:rsidRPr="00E86614" w:rsidRDefault="00374E4B" w:rsidP="00374E4B">
      <w:pPr>
        <w:spacing w:after="0" w:line="240" w:lineRule="auto"/>
        <w:jc w:val="both"/>
        <w:rPr>
          <w:rFonts w:eastAsia="Garamond"/>
          <w:szCs w:val="20"/>
        </w:rPr>
      </w:pPr>
      <w:r w:rsidRPr="00E86614">
        <w:rPr>
          <w:rFonts w:eastAsia="Garamond"/>
          <w:szCs w:val="20"/>
        </w:rPr>
        <w:t>Garantiza que las comunidades cuenten con personal técnico "in situ" preparado para afrontar emergencias sanitarias y brotes de manera inmediata y eficaz.</w:t>
      </w:r>
    </w:p>
    <w:p w14:paraId="245DD709" w14:textId="267439B6" w:rsidR="00374E4B" w:rsidRPr="00FC22A8" w:rsidRDefault="00374E4B" w:rsidP="00374E4B">
      <w:pPr>
        <w:spacing w:after="0" w:line="240" w:lineRule="auto"/>
        <w:jc w:val="both"/>
        <w:rPr>
          <w:rFonts w:eastAsia="Garamond"/>
          <w:b/>
          <w:bCs/>
          <w:szCs w:val="20"/>
        </w:rPr>
      </w:pPr>
      <w:r w:rsidRPr="00E86614">
        <w:rPr>
          <w:rFonts w:eastAsia="Garamond"/>
          <w:szCs w:val="20"/>
        </w:rPr>
        <w:t xml:space="preserve">Fuente de verificación: </w:t>
      </w:r>
      <w:r w:rsidRPr="00FC22A8">
        <w:rPr>
          <w:rFonts w:eastAsia="Garamond"/>
          <w:b/>
          <w:bCs/>
          <w:szCs w:val="20"/>
        </w:rPr>
        <w:t>https://dgvs.mspbs.gov.py/vigilancia-inaugura-la-decimosexta-muestra-nacional-de-epidemiologia/</w:t>
      </w:r>
    </w:p>
    <w:p w14:paraId="3F0F31A3" w14:textId="060B8B7F" w:rsidR="00374E4B" w:rsidRPr="005F4490" w:rsidRDefault="00374E4B" w:rsidP="00374E4B">
      <w:pPr>
        <w:spacing w:after="0" w:line="240" w:lineRule="auto"/>
        <w:contextualSpacing/>
        <w:jc w:val="both"/>
        <w:rPr>
          <w:rFonts w:eastAsia="Garamond"/>
          <w:b/>
          <w:bCs/>
          <w:szCs w:val="20"/>
        </w:rPr>
      </w:pPr>
      <w:r w:rsidRPr="005F4490">
        <w:rPr>
          <w:rFonts w:eastAsia="Garamond"/>
          <w:b/>
          <w:bCs/>
          <w:szCs w:val="20"/>
        </w:rPr>
        <w:t xml:space="preserve">Implementación de la Estratificación de riesgo para orientar las acciones de prevención y control del dengue, en áreas urbanas, durante el periodo </w:t>
      </w:r>
      <w:r w:rsidR="00786519" w:rsidRPr="005F4490">
        <w:rPr>
          <w:rFonts w:eastAsia="Garamond"/>
          <w:b/>
          <w:bCs/>
          <w:szCs w:val="20"/>
        </w:rPr>
        <w:t>Inter epidémico</w:t>
      </w:r>
      <w:r w:rsidRPr="005F4490">
        <w:rPr>
          <w:rFonts w:eastAsia="Garamond"/>
          <w:b/>
          <w:bCs/>
          <w:szCs w:val="20"/>
        </w:rPr>
        <w:t xml:space="preserve">. </w:t>
      </w:r>
    </w:p>
    <w:p w14:paraId="44F00AFD" w14:textId="4BF23FC2" w:rsidR="00374E4B" w:rsidRPr="001760C9" w:rsidRDefault="00374E4B" w:rsidP="00374E4B">
      <w:pPr>
        <w:spacing w:after="0" w:line="240" w:lineRule="auto"/>
        <w:jc w:val="both"/>
        <w:rPr>
          <w:rFonts w:eastAsia="Garamond"/>
          <w:szCs w:val="20"/>
        </w:rPr>
      </w:pPr>
      <w:r w:rsidRPr="001760C9">
        <w:rPr>
          <w:rFonts w:eastAsia="Garamond"/>
          <w:szCs w:val="20"/>
        </w:rPr>
        <w:t xml:space="preserve">En el marco del fortalecimiento de la vigilancia epidemiológica y el control del Dengue en el Paraguay, se implementó la estratificación de riesgo para orientar las acciones de control vectorial, promoción, prevención, focalizado en áreas urbanas, durante el periodo </w:t>
      </w:r>
      <w:r w:rsidR="00786519" w:rsidRPr="001760C9">
        <w:rPr>
          <w:rFonts w:eastAsia="Garamond"/>
          <w:szCs w:val="20"/>
        </w:rPr>
        <w:t>Inter epidémico</w:t>
      </w:r>
      <w:r w:rsidRPr="001760C9">
        <w:rPr>
          <w:rFonts w:eastAsia="Garamond"/>
          <w:szCs w:val="20"/>
        </w:rPr>
        <w:t xml:space="preserve">. </w:t>
      </w:r>
    </w:p>
    <w:p w14:paraId="47E25E68" w14:textId="77777777" w:rsidR="00374E4B" w:rsidRDefault="00374E4B" w:rsidP="00374E4B">
      <w:pPr>
        <w:spacing w:after="0" w:line="240" w:lineRule="auto"/>
        <w:jc w:val="both"/>
        <w:rPr>
          <w:rFonts w:eastAsia="Garamond"/>
          <w:szCs w:val="20"/>
        </w:rPr>
      </w:pPr>
      <w:r w:rsidRPr="001760C9">
        <w:rPr>
          <w:rFonts w:eastAsia="Garamond"/>
          <w:szCs w:val="20"/>
        </w:rPr>
        <w:t>El dengue es una enfermedad endémica en el territorio nacional, con brotes recurrentes y epidemias de gran impacto en la población.</w:t>
      </w:r>
    </w:p>
    <w:p w14:paraId="524C9518" w14:textId="77777777" w:rsidR="00374E4B" w:rsidRDefault="00374E4B" w:rsidP="00374E4B">
      <w:pPr>
        <w:spacing w:after="0" w:line="240" w:lineRule="auto"/>
        <w:jc w:val="both"/>
        <w:rPr>
          <w:rFonts w:eastAsia="Garamond"/>
          <w:szCs w:val="20"/>
        </w:rPr>
      </w:pPr>
      <w:r w:rsidRPr="001760C9">
        <w:rPr>
          <w:rFonts w:eastAsia="Garamond"/>
          <w:szCs w:val="20"/>
        </w:rPr>
        <w:t>Disminución de notificación de casos en el 2025, en comparación con el 2024, durante las Semanas Epidemiológicas 29 a la 50.</w:t>
      </w:r>
      <w:r w:rsidRPr="001760C9">
        <w:rPr>
          <w:szCs w:val="20"/>
        </w:rPr>
        <w:t xml:space="preserve"> </w:t>
      </w:r>
      <w:r w:rsidRPr="001760C9">
        <w:rPr>
          <w:rFonts w:eastAsia="Garamond"/>
          <w:szCs w:val="20"/>
        </w:rPr>
        <w:t>A nivel país la reducción es del 37% de notificaciones, en Asunción representa un 11% menos y para el departamento Central el 40%.</w:t>
      </w:r>
    </w:p>
    <w:p w14:paraId="5F00A756" w14:textId="77777777" w:rsidR="00374E4B" w:rsidRPr="001760C9" w:rsidRDefault="00374E4B" w:rsidP="00374E4B">
      <w:pPr>
        <w:spacing w:after="0" w:line="240" w:lineRule="auto"/>
        <w:jc w:val="both"/>
        <w:rPr>
          <w:rFonts w:eastAsia="Garamond"/>
          <w:szCs w:val="20"/>
        </w:rPr>
      </w:pPr>
      <w:r w:rsidRPr="001760C9">
        <w:rPr>
          <w:rFonts w:eastAsia="Garamond"/>
          <w:szCs w:val="20"/>
        </w:rPr>
        <w:t>Indicadores operativos: Selección de comunidades estratégicas para el despliegue de nuevas tecnologías (Wolbachia, mosquitos estériles y vacunación).</w:t>
      </w:r>
    </w:p>
    <w:p w14:paraId="3720847B" w14:textId="77777777" w:rsidR="00374E4B" w:rsidRDefault="00374E4B" w:rsidP="00374E4B">
      <w:pPr>
        <w:spacing w:after="0" w:line="240" w:lineRule="auto"/>
        <w:jc w:val="both"/>
        <w:rPr>
          <w:rFonts w:eastAsia="Garamond"/>
          <w:szCs w:val="20"/>
        </w:rPr>
      </w:pPr>
      <w:r w:rsidRPr="001760C9">
        <w:rPr>
          <w:rFonts w:eastAsia="Garamond"/>
          <w:szCs w:val="20"/>
        </w:rPr>
        <w:t>Población objetivo: Habitantes de áreas urbanas priorizadas, abarcando tanto población pediátrica como adulta.</w:t>
      </w:r>
    </w:p>
    <w:p w14:paraId="75872E49" w14:textId="77777777" w:rsidR="00374E4B" w:rsidRDefault="00374E4B" w:rsidP="00374E4B">
      <w:pPr>
        <w:spacing w:after="0" w:line="240" w:lineRule="auto"/>
        <w:jc w:val="both"/>
        <w:rPr>
          <w:rFonts w:eastAsia="Garamond"/>
          <w:szCs w:val="20"/>
        </w:rPr>
      </w:pPr>
      <w:r w:rsidRPr="001760C9">
        <w:rPr>
          <w:rFonts w:eastAsia="Garamond"/>
          <w:szCs w:val="20"/>
        </w:rPr>
        <w:t>Localidad: Áreas urbanas con alta densidad demográfica, con especial énfasis en Asunción y el Departamento Central, además de localidades seleccionadas para proyectos piloto de biotecnología y vacunación.</w:t>
      </w:r>
    </w:p>
    <w:p w14:paraId="5E078AEC" w14:textId="77777777" w:rsidR="00374E4B" w:rsidRDefault="00374E4B" w:rsidP="00374E4B">
      <w:pPr>
        <w:spacing w:after="0" w:line="240" w:lineRule="auto"/>
        <w:jc w:val="both"/>
        <w:rPr>
          <w:rFonts w:eastAsia="Garamond"/>
          <w:szCs w:val="20"/>
        </w:rPr>
      </w:pPr>
      <w:r w:rsidRPr="001760C9">
        <w:rPr>
          <w:rFonts w:eastAsia="Garamond"/>
          <w:szCs w:val="20"/>
        </w:rPr>
        <w:t>Disminución efectiva de la carga de enfermedad y del riesgo de brotes epidémicos de gran escala.</w:t>
      </w:r>
    </w:p>
    <w:p w14:paraId="626968DB" w14:textId="77777777" w:rsidR="00374E4B" w:rsidRPr="005F4490" w:rsidRDefault="00374E4B" w:rsidP="00374E4B">
      <w:pPr>
        <w:spacing w:after="0" w:line="240" w:lineRule="auto"/>
        <w:jc w:val="both"/>
        <w:rPr>
          <w:rFonts w:eastAsia="Garamond"/>
          <w:szCs w:val="20"/>
        </w:rPr>
      </w:pPr>
      <w:r w:rsidRPr="001760C9">
        <w:rPr>
          <w:rFonts w:eastAsia="Garamond"/>
          <w:szCs w:val="20"/>
        </w:rPr>
        <w:t>Acceso a tecnologías de vanguardia como el método "Wolbachia", biolarvicidas y la incorporación de la vacuna contra el Dengue en grupos pediátricos priorizados.</w:t>
      </w:r>
    </w:p>
    <w:p w14:paraId="00E893B2" w14:textId="77777777" w:rsidR="00374E4B" w:rsidRPr="005F4490" w:rsidRDefault="00374E4B" w:rsidP="00374E4B">
      <w:pPr>
        <w:spacing w:before="120" w:after="0" w:line="240" w:lineRule="auto"/>
        <w:contextualSpacing/>
        <w:jc w:val="both"/>
        <w:rPr>
          <w:rFonts w:eastAsia="Garamond"/>
          <w:b/>
          <w:bCs/>
          <w:szCs w:val="20"/>
        </w:rPr>
      </w:pPr>
      <w:r w:rsidRPr="005F4490">
        <w:rPr>
          <w:rFonts w:eastAsia="Garamond"/>
          <w:b/>
          <w:bCs/>
          <w:szCs w:val="20"/>
        </w:rPr>
        <w:t>Disminución de la Transmisión Materno Infantil (TMI) del VIH en el año 2025.</w:t>
      </w:r>
    </w:p>
    <w:p w14:paraId="7576C9FC" w14:textId="77777777" w:rsidR="00374E4B" w:rsidRPr="001760C9" w:rsidRDefault="00374E4B" w:rsidP="00374E4B">
      <w:pPr>
        <w:spacing w:after="0" w:line="240" w:lineRule="auto"/>
        <w:jc w:val="both"/>
        <w:rPr>
          <w:rFonts w:eastAsia="Garamond"/>
          <w:szCs w:val="20"/>
        </w:rPr>
      </w:pPr>
      <w:r w:rsidRPr="001760C9">
        <w:rPr>
          <w:rFonts w:eastAsia="Garamond"/>
          <w:szCs w:val="20"/>
        </w:rPr>
        <w:t>En el marco de la estrategia regional ETMI-PLUS, el sistema de salud paraguayo logró una reducción histórica en la tasa de transmisión vertical del VIH. Mediante un trabajo articulado entre PRONASIDA y el Programa de Salud Materno-Infantil, se optimizó el diagnóstico temprano y el acceso al Tratamiento Antirretroviral (TAR), logrando descender de una tasa del 5,1% en 2024 a una del 1,6% en 2025, alineándose con los estándares internacionales de eliminación de la enfermedad.</w:t>
      </w:r>
    </w:p>
    <w:p w14:paraId="692FBCD6" w14:textId="77777777" w:rsidR="00374E4B" w:rsidRPr="001760C9" w:rsidRDefault="00374E4B" w:rsidP="00374E4B">
      <w:pPr>
        <w:spacing w:after="0" w:line="240" w:lineRule="auto"/>
        <w:jc w:val="both"/>
        <w:rPr>
          <w:rFonts w:eastAsia="Garamond"/>
          <w:szCs w:val="20"/>
        </w:rPr>
      </w:pPr>
      <w:r w:rsidRPr="001760C9">
        <w:rPr>
          <w:rFonts w:eastAsia="Garamond"/>
          <w:szCs w:val="20"/>
        </w:rPr>
        <w:t>Tasa de Transmisión: Reducción absoluta de 3,5 puntos porcentuales (del 5,1% al 1,6%).</w:t>
      </w:r>
    </w:p>
    <w:p w14:paraId="676C3F86" w14:textId="77777777" w:rsidR="00374E4B" w:rsidRPr="001760C9" w:rsidRDefault="00374E4B" w:rsidP="00374E4B">
      <w:pPr>
        <w:spacing w:after="0" w:line="240" w:lineRule="auto"/>
        <w:jc w:val="both"/>
        <w:rPr>
          <w:rFonts w:eastAsia="Garamond"/>
          <w:szCs w:val="20"/>
        </w:rPr>
      </w:pPr>
      <w:r w:rsidRPr="001760C9">
        <w:rPr>
          <w:rFonts w:eastAsia="Garamond"/>
          <w:szCs w:val="20"/>
        </w:rPr>
        <w:t>Casos Pediátricos: Disminución de 8 casos (en 2024) a solo 3 casos registrados (en 2025).</w:t>
      </w:r>
    </w:p>
    <w:p w14:paraId="3ECDD318" w14:textId="77777777" w:rsidR="00374E4B" w:rsidRPr="001760C9" w:rsidRDefault="00374E4B" w:rsidP="00374E4B">
      <w:pPr>
        <w:spacing w:after="0" w:line="240" w:lineRule="auto"/>
        <w:jc w:val="both"/>
        <w:rPr>
          <w:rFonts w:eastAsia="Garamond"/>
          <w:szCs w:val="20"/>
        </w:rPr>
      </w:pPr>
      <w:r w:rsidRPr="001760C9">
        <w:rPr>
          <w:rFonts w:eastAsia="Garamond"/>
          <w:szCs w:val="20"/>
        </w:rPr>
        <w:t>Cobertura de atención: Seguimiento integral de un universo de 177 embarazadas con VIH.</w:t>
      </w:r>
    </w:p>
    <w:p w14:paraId="79280A45" w14:textId="77777777" w:rsidR="00374E4B" w:rsidRPr="001760C9" w:rsidRDefault="00374E4B" w:rsidP="00374E4B">
      <w:pPr>
        <w:spacing w:after="0" w:line="240" w:lineRule="auto"/>
        <w:jc w:val="both"/>
        <w:rPr>
          <w:rFonts w:eastAsia="Garamond"/>
          <w:szCs w:val="20"/>
        </w:rPr>
      </w:pPr>
      <w:r w:rsidRPr="001760C9">
        <w:rPr>
          <w:rFonts w:eastAsia="Garamond"/>
          <w:szCs w:val="20"/>
        </w:rPr>
        <w:t>Meta Regional: Cumplimiento del objetivo OPS/OMS de mantener la transmisión por debajo del 2%.</w:t>
      </w:r>
    </w:p>
    <w:p w14:paraId="101EEF02" w14:textId="3B0C7F68" w:rsidR="00374E4B" w:rsidRDefault="00374E4B" w:rsidP="00374E4B">
      <w:pPr>
        <w:spacing w:after="0" w:line="240" w:lineRule="auto"/>
        <w:jc w:val="both"/>
        <w:rPr>
          <w:rFonts w:eastAsia="Garamond"/>
          <w:szCs w:val="20"/>
        </w:rPr>
      </w:pPr>
      <w:r w:rsidRPr="001760C9">
        <w:rPr>
          <w:rFonts w:eastAsia="Garamond"/>
          <w:szCs w:val="20"/>
        </w:rPr>
        <w:t>Población objetivo: Binomio madre-hijo (mujeres gestantes con diagnóstico de VIH y recién nacidos), con cobertura nacional y énfasis en los servicios de atención prenatal del sector público y los programas de vigilancia centinela</w:t>
      </w:r>
      <w:r w:rsidR="00BE2300">
        <w:rPr>
          <w:rFonts w:eastAsia="Garamond"/>
          <w:szCs w:val="20"/>
        </w:rPr>
        <w:t>.</w:t>
      </w:r>
    </w:p>
    <w:p w14:paraId="058583ED" w14:textId="77777777" w:rsidR="00BE2300" w:rsidRDefault="00BE2300" w:rsidP="00374E4B">
      <w:pPr>
        <w:spacing w:after="0" w:line="240" w:lineRule="auto"/>
        <w:jc w:val="both"/>
        <w:rPr>
          <w:rFonts w:eastAsia="Garamond"/>
          <w:szCs w:val="20"/>
        </w:rPr>
      </w:pPr>
    </w:p>
    <w:p w14:paraId="4AD132C0" w14:textId="77777777" w:rsidR="00BE2300" w:rsidRDefault="00BE2300" w:rsidP="00374E4B">
      <w:pPr>
        <w:spacing w:after="0" w:line="240" w:lineRule="auto"/>
        <w:jc w:val="both"/>
        <w:rPr>
          <w:rFonts w:eastAsia="Garamond"/>
          <w:szCs w:val="20"/>
        </w:rPr>
      </w:pPr>
    </w:p>
    <w:p w14:paraId="27B298C0" w14:textId="77777777" w:rsidR="00BE2300" w:rsidRDefault="00BE2300" w:rsidP="00374E4B">
      <w:pPr>
        <w:spacing w:after="0" w:line="240" w:lineRule="auto"/>
        <w:jc w:val="both"/>
        <w:rPr>
          <w:rFonts w:eastAsia="Garamond"/>
          <w:szCs w:val="20"/>
        </w:rPr>
      </w:pPr>
    </w:p>
    <w:p w14:paraId="10FAB3D0" w14:textId="77777777" w:rsidR="00BE2300" w:rsidRDefault="00BE2300" w:rsidP="00374E4B">
      <w:pPr>
        <w:spacing w:after="0" w:line="240" w:lineRule="auto"/>
        <w:jc w:val="both"/>
        <w:rPr>
          <w:rFonts w:eastAsia="Garamond"/>
          <w:szCs w:val="20"/>
        </w:rPr>
      </w:pPr>
    </w:p>
    <w:p w14:paraId="73D9AD87" w14:textId="77777777" w:rsidR="00BE2300" w:rsidRDefault="00BE2300" w:rsidP="00374E4B">
      <w:pPr>
        <w:spacing w:after="0" w:line="240" w:lineRule="auto"/>
        <w:jc w:val="both"/>
        <w:rPr>
          <w:rFonts w:eastAsia="Garamond"/>
          <w:szCs w:val="20"/>
        </w:rPr>
      </w:pPr>
    </w:p>
    <w:p w14:paraId="216D1391" w14:textId="77777777" w:rsidR="00BE2300" w:rsidRDefault="00BE2300" w:rsidP="00374E4B">
      <w:pPr>
        <w:spacing w:after="0" w:line="240" w:lineRule="auto"/>
        <w:jc w:val="both"/>
        <w:rPr>
          <w:rFonts w:eastAsia="Garamond"/>
          <w:szCs w:val="20"/>
        </w:rPr>
      </w:pPr>
    </w:p>
    <w:p w14:paraId="0AD1F9F3" w14:textId="77777777" w:rsidR="00BE2300" w:rsidRDefault="00BE2300" w:rsidP="00374E4B">
      <w:pPr>
        <w:spacing w:after="0" w:line="240" w:lineRule="auto"/>
        <w:jc w:val="both"/>
        <w:rPr>
          <w:rFonts w:eastAsia="Garamond"/>
          <w:szCs w:val="20"/>
        </w:rPr>
      </w:pPr>
    </w:p>
    <w:p w14:paraId="12317A14" w14:textId="77777777" w:rsidR="00BE2300" w:rsidRPr="001760C9" w:rsidRDefault="00BE2300" w:rsidP="00374E4B">
      <w:pPr>
        <w:spacing w:after="0" w:line="240" w:lineRule="auto"/>
        <w:jc w:val="both"/>
        <w:rPr>
          <w:rFonts w:eastAsia="Garamond"/>
          <w:szCs w:val="20"/>
        </w:rPr>
      </w:pPr>
    </w:p>
    <w:p w14:paraId="0DC3CF9C" w14:textId="77777777" w:rsidR="00374E4B" w:rsidRPr="001760C9" w:rsidRDefault="00374E4B" w:rsidP="00374E4B">
      <w:pPr>
        <w:spacing w:after="0" w:line="240" w:lineRule="auto"/>
        <w:jc w:val="both"/>
        <w:rPr>
          <w:rFonts w:eastAsia="Garamond"/>
          <w:szCs w:val="20"/>
        </w:rPr>
      </w:pPr>
      <w:r w:rsidRPr="001760C9">
        <w:rPr>
          <w:rFonts w:eastAsia="Garamond"/>
          <w:szCs w:val="20"/>
        </w:rPr>
        <w:t>Localidades priorizadas: Asunción (Capital), Central y Alto Paraná, debido a la mayor densidad de casos registrados.</w:t>
      </w:r>
    </w:p>
    <w:p w14:paraId="2C0049C6" w14:textId="77777777" w:rsidR="00374E4B" w:rsidRPr="001760C9" w:rsidRDefault="00374E4B" w:rsidP="00374E4B">
      <w:pPr>
        <w:spacing w:after="0" w:line="240" w:lineRule="auto"/>
        <w:jc w:val="both"/>
        <w:rPr>
          <w:rFonts w:eastAsia="Garamond"/>
          <w:szCs w:val="20"/>
        </w:rPr>
      </w:pPr>
      <w:r w:rsidRPr="001760C9">
        <w:rPr>
          <w:rFonts w:eastAsia="Garamond"/>
          <w:szCs w:val="20"/>
        </w:rPr>
        <w:t>Avance sostenido hacia la eliminación del VIH pediátrico como problema de salud pública.</w:t>
      </w:r>
    </w:p>
    <w:p w14:paraId="221AE9F4" w14:textId="77777777" w:rsidR="00374E4B" w:rsidRPr="00E86614" w:rsidRDefault="00374E4B" w:rsidP="00374E4B">
      <w:pPr>
        <w:spacing w:after="0" w:line="240" w:lineRule="auto"/>
        <w:jc w:val="both"/>
        <w:rPr>
          <w:rFonts w:eastAsia="Garamond"/>
          <w:szCs w:val="20"/>
        </w:rPr>
      </w:pPr>
      <w:bookmarkStart w:id="686" w:name="_Hlk217996373"/>
      <w:r w:rsidRPr="00E86614">
        <w:rPr>
          <w:rFonts w:eastAsia="Garamond"/>
          <w:b/>
          <w:bCs/>
          <w:szCs w:val="20"/>
        </w:rPr>
        <w:t>Aumento del testeo para VIH y aumento de PrEP"</w:t>
      </w:r>
      <w:r w:rsidRPr="00E86614">
        <w:rPr>
          <w:rFonts w:eastAsia="Garamond"/>
          <w:szCs w:val="20"/>
        </w:rPr>
        <w:t>Implementación del proyecto “Reducción de la Incidencia y Mortalidad Asociadas al VIH”, impulsado por un modelo innovador de Pago por Incentivo a las Regiones Sanitarias iniciado en julio de 2024. Esta estrategia permitió optimizar la cascada de atención mediante la expansión de la prevención combinada, el fortalecimiento de la vinculación oportuna y la sistematización del acceso a la Profilaxis Pre-Exposición (PrEP) en poblaciones con riesgo sustancial.</w:t>
      </w:r>
    </w:p>
    <w:p w14:paraId="7D8DF1E1" w14:textId="77777777" w:rsidR="00374E4B" w:rsidRPr="00E86614" w:rsidRDefault="00374E4B" w:rsidP="00374E4B">
      <w:pPr>
        <w:spacing w:after="0" w:line="240" w:lineRule="auto"/>
        <w:jc w:val="both"/>
        <w:rPr>
          <w:rFonts w:eastAsia="Garamond"/>
          <w:szCs w:val="20"/>
        </w:rPr>
      </w:pPr>
      <w:r w:rsidRPr="00E86614">
        <w:rPr>
          <w:rFonts w:eastAsia="Garamond"/>
          <w:szCs w:val="20"/>
        </w:rPr>
        <w:t>Tamizaje (Test rápidos): Aumento de 279.099 (2024) a 346.507 testeos realizados en 2025.</w:t>
      </w:r>
    </w:p>
    <w:p w14:paraId="49854670" w14:textId="77777777" w:rsidR="00374E4B" w:rsidRPr="00E86614" w:rsidRDefault="00374E4B" w:rsidP="00374E4B">
      <w:pPr>
        <w:spacing w:after="0" w:line="240" w:lineRule="auto"/>
        <w:jc w:val="both"/>
        <w:rPr>
          <w:rFonts w:eastAsia="Garamond"/>
          <w:szCs w:val="20"/>
        </w:rPr>
      </w:pPr>
      <w:r w:rsidRPr="00E86614">
        <w:rPr>
          <w:rFonts w:eastAsia="Garamond"/>
          <w:szCs w:val="20"/>
        </w:rPr>
        <w:t>Prevención (PrEP): Incremento del 100% en los inicios de tratamiento, pasando de 1.117 (2024) a 2.242 nuevos usuarios en 2025.</w:t>
      </w:r>
    </w:p>
    <w:p w14:paraId="18EC20B7" w14:textId="77777777" w:rsidR="00374E4B" w:rsidRPr="00E86614" w:rsidRDefault="00374E4B" w:rsidP="00374E4B">
      <w:pPr>
        <w:spacing w:after="0" w:line="240" w:lineRule="auto"/>
        <w:jc w:val="both"/>
        <w:rPr>
          <w:rFonts w:eastAsia="Garamond"/>
          <w:szCs w:val="20"/>
        </w:rPr>
      </w:pPr>
      <w:r w:rsidRPr="00E86614">
        <w:rPr>
          <w:rFonts w:eastAsia="Garamond"/>
          <w:szCs w:val="20"/>
        </w:rPr>
        <w:t>Población objetivo: Poblaciones clave y de difícil acceso, población general, binomio madre-hijo y personas en riesgo de abandono del sistema.</w:t>
      </w:r>
    </w:p>
    <w:p w14:paraId="35AFC0C8" w14:textId="77777777" w:rsidR="00374E4B" w:rsidRPr="00E86614" w:rsidRDefault="00374E4B" w:rsidP="00374E4B">
      <w:pPr>
        <w:spacing w:after="0" w:line="240" w:lineRule="auto"/>
        <w:jc w:val="both"/>
        <w:rPr>
          <w:rFonts w:eastAsia="Garamond"/>
          <w:szCs w:val="20"/>
        </w:rPr>
      </w:pPr>
      <w:r w:rsidRPr="00E86614">
        <w:rPr>
          <w:rFonts w:eastAsia="Garamond"/>
          <w:szCs w:val="20"/>
        </w:rPr>
        <w:t>Localidad: Alcance nacional, con despliegue en todos los niveles de atención y regiones sanitarias del territorio nacional.</w:t>
      </w:r>
    </w:p>
    <w:p w14:paraId="32838A41" w14:textId="77777777" w:rsidR="00374E4B" w:rsidRPr="00E86614" w:rsidRDefault="00374E4B" w:rsidP="00374E4B">
      <w:pPr>
        <w:spacing w:after="0" w:line="240" w:lineRule="auto"/>
        <w:jc w:val="both"/>
        <w:rPr>
          <w:rFonts w:eastAsia="Garamond"/>
          <w:szCs w:val="20"/>
        </w:rPr>
      </w:pPr>
      <w:r w:rsidRPr="00E86614">
        <w:rPr>
          <w:rFonts w:eastAsia="Garamond"/>
          <w:szCs w:val="20"/>
        </w:rPr>
        <w:t>Reducción de la incidencia y la mortalidad asociadas al VIH, mediante el diagnóstico oportuno y la prevención efectiva de nuevas infecciones.</w:t>
      </w:r>
    </w:p>
    <w:bookmarkEnd w:id="686"/>
    <w:p w14:paraId="7B5BB208" w14:textId="77777777" w:rsidR="00374E4B" w:rsidRPr="00E86614" w:rsidRDefault="00374E4B" w:rsidP="00374E4B">
      <w:pPr>
        <w:spacing w:after="120" w:line="240" w:lineRule="auto"/>
        <w:contextualSpacing/>
        <w:jc w:val="both"/>
        <w:rPr>
          <w:rFonts w:eastAsia="Garamond"/>
          <w:b/>
          <w:bCs/>
          <w:szCs w:val="20"/>
        </w:rPr>
      </w:pPr>
      <w:r w:rsidRPr="00E86614">
        <w:rPr>
          <w:rFonts w:eastAsia="Garamond"/>
          <w:b/>
          <w:bCs/>
          <w:szCs w:val="20"/>
        </w:rPr>
        <w:t>Promulgación de la Ley Nº 7508/2025, para la protección de la salud frente a Sistemas Electrónicos de Administración de Nicotina (SEAN) y Sistemas Similares sin Nicotina (SSSN).</w:t>
      </w:r>
    </w:p>
    <w:p w14:paraId="07C9D59F" w14:textId="77777777" w:rsidR="00374E4B" w:rsidRDefault="00374E4B" w:rsidP="00374E4B">
      <w:pPr>
        <w:spacing w:after="0" w:line="240" w:lineRule="auto"/>
        <w:jc w:val="both"/>
        <w:rPr>
          <w:rFonts w:eastAsia="Garamond"/>
          <w:szCs w:val="20"/>
        </w:rPr>
      </w:pPr>
      <w:r w:rsidRPr="00E86614">
        <w:rPr>
          <w:rFonts w:eastAsia="Garamond"/>
          <w:szCs w:val="20"/>
        </w:rPr>
        <w:t>Promulgación de la Ley Nº 7508/2025, que establece el primer marco jurídico en Paraguay para la regulación de Sistemas Electrónicos de Administración de Nicotina (SEAN), Sistemas Similares sin Nicotina (SSSN) y dispositivos emergentes. Este hito legislativo subsana un vacío normativo histórico, alineando la política nacional con los estándares internacionales de control del tabaco y respondiendo al incremento del consumo de dispositivos de vapeo en poblaciones vulnerables.</w:t>
      </w:r>
    </w:p>
    <w:p w14:paraId="6514D9D9" w14:textId="657C6E61" w:rsidR="00374E4B" w:rsidRPr="00E86614" w:rsidRDefault="00374E4B" w:rsidP="00374E4B">
      <w:pPr>
        <w:spacing w:after="0" w:line="240" w:lineRule="auto"/>
        <w:jc w:val="both"/>
        <w:rPr>
          <w:rFonts w:eastAsia="Garamond"/>
          <w:szCs w:val="20"/>
        </w:rPr>
      </w:pPr>
      <w:r w:rsidRPr="00E86614">
        <w:rPr>
          <w:rFonts w:eastAsia="Garamond"/>
          <w:szCs w:val="20"/>
        </w:rPr>
        <w:t xml:space="preserve">Instrumento legal: Ley Nacional </w:t>
      </w:r>
      <w:r w:rsidR="00FC22A8" w:rsidRPr="00E86614">
        <w:rPr>
          <w:rFonts w:eastAsia="Garamond"/>
          <w:szCs w:val="20"/>
        </w:rPr>
        <w:t>N.º</w:t>
      </w:r>
      <w:r w:rsidRPr="00E86614">
        <w:rPr>
          <w:rFonts w:eastAsia="Garamond"/>
          <w:szCs w:val="20"/>
        </w:rPr>
        <w:t xml:space="preserve"> 7508/2025 (publicada en Gaceta Oficial </w:t>
      </w:r>
      <w:r w:rsidR="00FC22A8" w:rsidRPr="00E86614">
        <w:rPr>
          <w:rFonts w:eastAsia="Garamond"/>
          <w:szCs w:val="20"/>
        </w:rPr>
        <w:t>N</w:t>
      </w:r>
      <w:r w:rsidR="00FC22A8">
        <w:rPr>
          <w:rFonts w:eastAsia="Garamond"/>
          <w:szCs w:val="20"/>
        </w:rPr>
        <w:t>.</w:t>
      </w:r>
      <w:r w:rsidR="00FC22A8" w:rsidRPr="00E86614">
        <w:rPr>
          <w:rFonts w:eastAsia="Garamond"/>
          <w:szCs w:val="20"/>
        </w:rPr>
        <w:t>º</w:t>
      </w:r>
      <w:r w:rsidRPr="00E86614">
        <w:rPr>
          <w:rFonts w:eastAsia="Garamond"/>
          <w:szCs w:val="20"/>
        </w:rPr>
        <w:t xml:space="preserve"> 168).</w:t>
      </w:r>
    </w:p>
    <w:p w14:paraId="6BF656A9" w14:textId="77777777" w:rsidR="00374E4B" w:rsidRPr="00E86614" w:rsidRDefault="00374E4B" w:rsidP="00374E4B">
      <w:pPr>
        <w:spacing w:after="0" w:line="240" w:lineRule="auto"/>
        <w:jc w:val="both"/>
        <w:rPr>
          <w:rFonts w:eastAsia="Garamond"/>
          <w:szCs w:val="20"/>
        </w:rPr>
      </w:pPr>
      <w:r w:rsidRPr="00E86614">
        <w:rPr>
          <w:rFonts w:eastAsia="Garamond"/>
          <w:szCs w:val="20"/>
        </w:rPr>
        <w:t>Población objetivo: Menores de edad, adolescentes y jóvenes (grupos de mayor riesgo de iniciación).</w:t>
      </w:r>
    </w:p>
    <w:p w14:paraId="646782C2" w14:textId="77777777" w:rsidR="00374E4B" w:rsidRPr="00E86614" w:rsidRDefault="00374E4B" w:rsidP="00374E4B">
      <w:pPr>
        <w:spacing w:after="0" w:line="240" w:lineRule="auto"/>
        <w:jc w:val="both"/>
        <w:rPr>
          <w:rFonts w:eastAsia="Garamond"/>
          <w:szCs w:val="20"/>
        </w:rPr>
      </w:pPr>
      <w:r w:rsidRPr="00E86614">
        <w:rPr>
          <w:rFonts w:eastAsia="Garamond"/>
          <w:szCs w:val="20"/>
        </w:rPr>
        <w:t>Beneficiarios indirectos: La ciudadanía en general, mediante la protección contra la exposición a aerosoles tóxicos en espacios públicos.</w:t>
      </w:r>
    </w:p>
    <w:p w14:paraId="721045EF" w14:textId="77777777" w:rsidR="00374E4B" w:rsidRPr="00E86614" w:rsidRDefault="00374E4B" w:rsidP="00374E4B">
      <w:pPr>
        <w:spacing w:after="0" w:line="240" w:lineRule="auto"/>
        <w:jc w:val="both"/>
        <w:rPr>
          <w:rFonts w:eastAsia="Garamond"/>
          <w:szCs w:val="20"/>
        </w:rPr>
      </w:pPr>
      <w:r w:rsidRPr="00E86614">
        <w:rPr>
          <w:rFonts w:eastAsia="Garamond"/>
          <w:szCs w:val="20"/>
        </w:rPr>
        <w:t>Localidad: Aplicación obligatoria en todo el territorio nacional.</w:t>
      </w:r>
    </w:p>
    <w:p w14:paraId="7557CC85" w14:textId="77777777" w:rsidR="00374E4B" w:rsidRPr="00E86614" w:rsidRDefault="00374E4B" w:rsidP="00374E4B">
      <w:pPr>
        <w:spacing w:after="0" w:line="240" w:lineRule="auto"/>
        <w:jc w:val="both"/>
        <w:rPr>
          <w:rFonts w:eastAsia="Garamond"/>
          <w:szCs w:val="20"/>
        </w:rPr>
      </w:pPr>
      <w:r w:rsidRPr="00E86614">
        <w:rPr>
          <w:rFonts w:eastAsia="Garamond"/>
          <w:szCs w:val="20"/>
        </w:rPr>
        <w:t>Gobernanza: Fortalecimiento de las facultades del Estado para el control y fiscalización del mercado de nicotina y productos similares.</w:t>
      </w:r>
    </w:p>
    <w:p w14:paraId="444DFD55" w14:textId="77777777" w:rsidR="00374E4B" w:rsidRPr="00E86614" w:rsidRDefault="00374E4B" w:rsidP="00374E4B">
      <w:pPr>
        <w:spacing w:after="0" w:line="240" w:lineRule="auto"/>
        <w:contextualSpacing/>
        <w:jc w:val="both"/>
        <w:rPr>
          <w:rFonts w:eastAsia="Garamond"/>
          <w:b/>
          <w:bCs/>
          <w:szCs w:val="20"/>
        </w:rPr>
      </w:pPr>
      <w:bookmarkStart w:id="687" w:name="_Hlk217997203"/>
      <w:r w:rsidRPr="00E86614">
        <w:rPr>
          <w:rFonts w:eastAsia="Garamond"/>
          <w:b/>
          <w:bCs/>
          <w:szCs w:val="20"/>
        </w:rPr>
        <w:t>Primera Encuesta de Políticas y Prácticas de Salud en el Ámbito Escolar Paraguay</w:t>
      </w:r>
    </w:p>
    <w:p w14:paraId="7EFC78D2" w14:textId="77777777" w:rsidR="00374E4B" w:rsidRPr="00E86614" w:rsidRDefault="00374E4B" w:rsidP="00374E4B">
      <w:pPr>
        <w:spacing w:after="0" w:line="240" w:lineRule="auto"/>
        <w:jc w:val="both"/>
        <w:rPr>
          <w:rFonts w:eastAsia="Garamond"/>
          <w:szCs w:val="20"/>
        </w:rPr>
      </w:pPr>
      <w:r w:rsidRPr="00E86614">
        <w:rPr>
          <w:rFonts w:eastAsia="Garamond"/>
          <w:szCs w:val="20"/>
        </w:rPr>
        <w:t>La primera Encuesta de Políticas y Prácticas de Salud en el Ámbito Escolar en Paraguay, basada en la metodología de la Encuesta Mundial sobre Políticas y Prácticas de Salud en la Escuela (G-SHPPS) desarrollada por la OMS y el CDC, constituye un logro clave en la generación de evidencia para la salud escolar, ya que permitió relevar información en 358 instituciones educativas del país en un contexto donde previamente no se contaba con datos sistematizados sobre la implementación de acciones de salud en las escuelas</w:t>
      </w:r>
    </w:p>
    <w:p w14:paraId="36B4136A" w14:textId="77777777" w:rsidR="00374E4B" w:rsidRPr="00E86614" w:rsidRDefault="00374E4B" w:rsidP="00374E4B">
      <w:pPr>
        <w:spacing w:after="0" w:line="240" w:lineRule="auto"/>
        <w:jc w:val="both"/>
        <w:rPr>
          <w:rFonts w:eastAsia="Garamond"/>
          <w:szCs w:val="20"/>
        </w:rPr>
      </w:pPr>
      <w:r w:rsidRPr="00E86614">
        <w:rPr>
          <w:rFonts w:eastAsia="Garamond"/>
          <w:szCs w:val="20"/>
        </w:rPr>
        <w:t>Alcance muestral: 358 instituciones educativas relevadas a nivel nacional.</w:t>
      </w:r>
    </w:p>
    <w:p w14:paraId="35599E8D" w14:textId="77777777" w:rsidR="00374E4B" w:rsidRPr="00E86614" w:rsidRDefault="00374E4B" w:rsidP="00374E4B">
      <w:pPr>
        <w:spacing w:after="0" w:line="240" w:lineRule="auto"/>
        <w:jc w:val="both"/>
        <w:rPr>
          <w:rFonts w:eastAsia="Garamond"/>
          <w:szCs w:val="20"/>
        </w:rPr>
      </w:pPr>
      <w:r w:rsidRPr="00E86614">
        <w:rPr>
          <w:rFonts w:eastAsia="Garamond"/>
          <w:szCs w:val="20"/>
        </w:rPr>
        <w:t>Beneficiarios directos: Comunidad educativa (estudiantes, docentes y directivos) de los niveles primario y secundario.</w:t>
      </w:r>
    </w:p>
    <w:p w14:paraId="4A246748" w14:textId="77777777" w:rsidR="00374E4B" w:rsidRPr="00E86614" w:rsidRDefault="00374E4B" w:rsidP="00374E4B">
      <w:pPr>
        <w:spacing w:after="0" w:line="240" w:lineRule="auto"/>
        <w:jc w:val="both"/>
        <w:rPr>
          <w:rFonts w:eastAsia="Garamond"/>
          <w:szCs w:val="20"/>
        </w:rPr>
      </w:pPr>
      <w:r w:rsidRPr="00E86614">
        <w:rPr>
          <w:rFonts w:eastAsia="Garamond"/>
          <w:szCs w:val="20"/>
        </w:rPr>
        <w:t>Beneficiarios indirectos: Familias y el sistema de salud pública mediante la prevención temprana.</w:t>
      </w:r>
    </w:p>
    <w:p w14:paraId="719B09BF" w14:textId="77777777" w:rsidR="00374E4B" w:rsidRPr="00E86614" w:rsidRDefault="00374E4B" w:rsidP="00374E4B">
      <w:pPr>
        <w:spacing w:after="0" w:line="240" w:lineRule="auto"/>
        <w:jc w:val="both"/>
        <w:rPr>
          <w:rFonts w:eastAsia="Garamond"/>
          <w:szCs w:val="20"/>
        </w:rPr>
      </w:pPr>
      <w:r w:rsidRPr="00E86614">
        <w:rPr>
          <w:rFonts w:eastAsia="Garamond"/>
          <w:szCs w:val="20"/>
        </w:rPr>
        <w:t>Localidad: Alcance nacional, integrando establecimientos educativos en diversos contextos geográficos y sociales del país.</w:t>
      </w:r>
    </w:p>
    <w:p w14:paraId="63D1E75C" w14:textId="77777777" w:rsidR="00374E4B" w:rsidRDefault="00374E4B" w:rsidP="00374E4B">
      <w:pPr>
        <w:spacing w:after="0" w:line="240" w:lineRule="auto"/>
        <w:jc w:val="both"/>
        <w:rPr>
          <w:rFonts w:eastAsia="Garamond"/>
          <w:szCs w:val="20"/>
        </w:rPr>
      </w:pPr>
      <w:r w:rsidRPr="00E86614">
        <w:rPr>
          <w:rFonts w:eastAsia="Garamond"/>
          <w:szCs w:val="20"/>
        </w:rPr>
        <w:t>Disponibilidad de información nacional fidedigna para la toma de decisiones estratégicas y la planificación de políticas públicas de salud escolar.</w:t>
      </w:r>
    </w:p>
    <w:p w14:paraId="06A5A1BF" w14:textId="77777777" w:rsidR="00374E4B" w:rsidRDefault="00374E4B" w:rsidP="00374E4B">
      <w:pPr>
        <w:spacing w:after="0" w:line="240" w:lineRule="auto"/>
        <w:jc w:val="both"/>
        <w:rPr>
          <w:rFonts w:eastAsia="Garamond"/>
          <w:szCs w:val="20"/>
        </w:rPr>
      </w:pPr>
      <w:r w:rsidRPr="00E86614">
        <w:rPr>
          <w:rFonts w:eastAsia="Garamond"/>
          <w:szCs w:val="20"/>
        </w:rPr>
        <w:t>Consolidación de la alianza estratégica entre el MSPBS y el MEC, optimizando la llegada de programas de salud a la población infantojuvenil.</w:t>
      </w:r>
    </w:p>
    <w:p w14:paraId="1DA916DE" w14:textId="77777777" w:rsidR="00BE2300" w:rsidRDefault="00BE2300" w:rsidP="00374E4B">
      <w:pPr>
        <w:spacing w:after="0" w:line="240" w:lineRule="auto"/>
        <w:jc w:val="both"/>
        <w:rPr>
          <w:rFonts w:eastAsia="Garamond"/>
          <w:szCs w:val="20"/>
        </w:rPr>
      </w:pPr>
    </w:p>
    <w:p w14:paraId="431E77E0" w14:textId="77777777" w:rsidR="00BE2300" w:rsidRDefault="00BE2300" w:rsidP="00374E4B">
      <w:pPr>
        <w:spacing w:after="0" w:line="240" w:lineRule="auto"/>
        <w:jc w:val="both"/>
        <w:rPr>
          <w:rFonts w:eastAsia="Garamond"/>
          <w:szCs w:val="20"/>
        </w:rPr>
      </w:pPr>
    </w:p>
    <w:p w14:paraId="460C2696" w14:textId="77777777" w:rsidR="00BE2300" w:rsidRDefault="00BE2300" w:rsidP="00374E4B">
      <w:pPr>
        <w:spacing w:after="0" w:line="240" w:lineRule="auto"/>
        <w:jc w:val="both"/>
        <w:rPr>
          <w:rFonts w:eastAsia="Garamond"/>
          <w:szCs w:val="20"/>
        </w:rPr>
      </w:pPr>
    </w:p>
    <w:p w14:paraId="6E5968C3" w14:textId="77777777" w:rsidR="00BE2300" w:rsidRDefault="00BE2300" w:rsidP="00374E4B">
      <w:pPr>
        <w:spacing w:after="0" w:line="240" w:lineRule="auto"/>
        <w:jc w:val="both"/>
        <w:rPr>
          <w:rFonts w:eastAsia="Garamond"/>
          <w:szCs w:val="20"/>
        </w:rPr>
      </w:pPr>
    </w:p>
    <w:p w14:paraId="40A6CF80" w14:textId="77777777" w:rsidR="00BE2300" w:rsidRDefault="00BE2300" w:rsidP="00374E4B">
      <w:pPr>
        <w:spacing w:after="0" w:line="240" w:lineRule="auto"/>
        <w:jc w:val="both"/>
        <w:rPr>
          <w:rFonts w:eastAsia="Garamond"/>
          <w:szCs w:val="20"/>
        </w:rPr>
      </w:pPr>
    </w:p>
    <w:p w14:paraId="46EAB528" w14:textId="77777777" w:rsidR="00BE2300" w:rsidRDefault="00BE2300" w:rsidP="00374E4B">
      <w:pPr>
        <w:spacing w:after="0" w:line="240" w:lineRule="auto"/>
        <w:jc w:val="both"/>
        <w:rPr>
          <w:rFonts w:eastAsia="Garamond"/>
          <w:szCs w:val="20"/>
        </w:rPr>
      </w:pPr>
    </w:p>
    <w:p w14:paraId="73155EE4" w14:textId="77777777" w:rsidR="00BE2300" w:rsidRPr="00E86614" w:rsidRDefault="00BE2300" w:rsidP="00374E4B">
      <w:pPr>
        <w:spacing w:after="0" w:line="240" w:lineRule="auto"/>
        <w:jc w:val="both"/>
        <w:rPr>
          <w:rFonts w:eastAsia="Garamond"/>
          <w:szCs w:val="20"/>
        </w:rPr>
      </w:pPr>
    </w:p>
    <w:bookmarkEnd w:id="687"/>
    <w:p w14:paraId="1B3AD064" w14:textId="77777777" w:rsidR="00374E4B" w:rsidRPr="00E86614" w:rsidRDefault="00374E4B" w:rsidP="00374E4B">
      <w:pPr>
        <w:spacing w:before="120" w:after="120" w:line="240" w:lineRule="auto"/>
        <w:contextualSpacing/>
        <w:jc w:val="both"/>
        <w:rPr>
          <w:rFonts w:eastAsia="Garamond"/>
          <w:b/>
          <w:bCs/>
          <w:szCs w:val="20"/>
        </w:rPr>
      </w:pPr>
      <w:r w:rsidRPr="00E86614">
        <w:rPr>
          <w:rFonts w:eastAsia="Garamond"/>
          <w:b/>
          <w:bCs/>
          <w:szCs w:val="20"/>
        </w:rPr>
        <w:t>Institucionalización estándares clínicos de vanguardia mediante el lanzamiento de la Guía de Hipertensión Arterial (HTA) en la Infancia y Adolescencia, junto con las GPC de EPOC Estable y Cesación Tabáquica.</w:t>
      </w:r>
    </w:p>
    <w:p w14:paraId="3A59420D" w14:textId="77777777" w:rsidR="00374E4B" w:rsidRPr="00E86614" w:rsidRDefault="00374E4B" w:rsidP="00374E4B">
      <w:pPr>
        <w:spacing w:after="0" w:line="240" w:lineRule="auto"/>
        <w:jc w:val="both"/>
        <w:rPr>
          <w:rFonts w:eastAsia="Garamond"/>
          <w:szCs w:val="20"/>
        </w:rPr>
      </w:pPr>
      <w:r w:rsidRPr="00E86614">
        <w:rPr>
          <w:rFonts w:eastAsia="Garamond"/>
          <w:szCs w:val="20"/>
        </w:rPr>
        <w:t>El Ministerio de Salud Pública y Bienestar Social (MSPyBS) ha institucionalizado estándares clínicos de vanguardia mediante el lanzamiento de la Guía de Hipertensión Arterial (HTA) en la Infancia y Adolescencia, junto con las GPC de EPOC Estable y Cesación Tabáquica. Estas últimas destacan por ser las primeras en la Región de las Américas desarrolladas bajo la metodología GRADE, asegurando que las decisiones terapéuticas y preventivas en Paraguay se basen en el máximo rigor científico y evidencia internacional (OPS/OMS).</w:t>
      </w:r>
    </w:p>
    <w:p w14:paraId="0D47CFA2" w14:textId="77777777" w:rsidR="00374E4B" w:rsidRPr="00E86614" w:rsidRDefault="00374E4B" w:rsidP="00374E4B">
      <w:pPr>
        <w:spacing w:after="0" w:line="240" w:lineRule="auto"/>
        <w:jc w:val="both"/>
        <w:rPr>
          <w:rFonts w:eastAsia="Garamond"/>
          <w:szCs w:val="20"/>
        </w:rPr>
      </w:pPr>
      <w:r w:rsidRPr="00E86614">
        <w:rPr>
          <w:rFonts w:eastAsia="Garamond"/>
          <w:szCs w:val="20"/>
        </w:rPr>
        <w:t xml:space="preserve">Instrumentos Técnicos: Publicación y aprobación por Resolución Ministerial de las Guías </w:t>
      </w:r>
    </w:p>
    <w:p w14:paraId="16F52457" w14:textId="77777777" w:rsidR="00374E4B" w:rsidRDefault="00374E4B" w:rsidP="00374E4B">
      <w:pPr>
        <w:spacing w:after="0" w:line="240" w:lineRule="auto"/>
        <w:jc w:val="both"/>
        <w:rPr>
          <w:rFonts w:eastAsia="Garamond"/>
          <w:szCs w:val="20"/>
        </w:rPr>
      </w:pPr>
      <w:r w:rsidRPr="00E86614">
        <w:rPr>
          <w:rFonts w:eastAsia="Garamond"/>
          <w:szCs w:val="20"/>
        </w:rPr>
        <w:t>Capacitación a profesionales de salud formados en el manejo integral de HTA y factores de riesgo.</w:t>
      </w:r>
    </w:p>
    <w:p w14:paraId="557FD0B5" w14:textId="77777777" w:rsidR="00374E4B" w:rsidRPr="00E86614" w:rsidRDefault="00374E4B" w:rsidP="00374E4B">
      <w:pPr>
        <w:spacing w:after="0" w:line="240" w:lineRule="auto"/>
        <w:jc w:val="both"/>
        <w:rPr>
          <w:rFonts w:eastAsia="Garamond"/>
          <w:szCs w:val="20"/>
        </w:rPr>
      </w:pPr>
      <w:r w:rsidRPr="00E86614">
        <w:rPr>
          <w:rFonts w:eastAsia="Garamond"/>
          <w:szCs w:val="20"/>
        </w:rPr>
        <w:t>Población Objetivo: Niños, niñas, adolescentes y adultos con riesgo cardiovascular o enfermedades respiratorias crónicas.</w:t>
      </w:r>
    </w:p>
    <w:p w14:paraId="237684F3" w14:textId="77777777" w:rsidR="00374E4B" w:rsidRPr="00E86614" w:rsidRDefault="00374E4B" w:rsidP="00374E4B">
      <w:pPr>
        <w:spacing w:after="0" w:line="240" w:lineRule="auto"/>
        <w:jc w:val="both"/>
        <w:rPr>
          <w:rFonts w:eastAsia="Garamond"/>
          <w:szCs w:val="20"/>
        </w:rPr>
      </w:pPr>
      <w:r w:rsidRPr="00E86614">
        <w:rPr>
          <w:rFonts w:eastAsia="Garamond"/>
          <w:szCs w:val="20"/>
        </w:rPr>
        <w:t>Localidad: Alcance nacional.</w:t>
      </w:r>
    </w:p>
    <w:p w14:paraId="14D725E9" w14:textId="77777777" w:rsidR="00374E4B" w:rsidRPr="00E86614" w:rsidRDefault="00374E4B" w:rsidP="00374E4B">
      <w:pPr>
        <w:spacing w:after="0" w:line="240" w:lineRule="auto"/>
        <w:jc w:val="both"/>
        <w:rPr>
          <w:rFonts w:eastAsia="Garamond"/>
          <w:szCs w:val="20"/>
        </w:rPr>
      </w:pPr>
      <w:r w:rsidRPr="00E86614">
        <w:rPr>
          <w:rFonts w:eastAsia="Garamond"/>
          <w:szCs w:val="20"/>
        </w:rPr>
        <w:t>Estandarización de la atención médica bajo criterios de evidencia, reduciendo la variabilidad clínica y optimizando el manejo del EPOC y la dependencia al tabaco/nicotina.</w:t>
      </w:r>
    </w:p>
    <w:p w14:paraId="1CD62800" w14:textId="77777777" w:rsidR="00374E4B" w:rsidRPr="00E86614" w:rsidRDefault="00374E4B" w:rsidP="00374E4B">
      <w:pPr>
        <w:spacing w:after="0" w:line="240" w:lineRule="auto"/>
        <w:contextualSpacing/>
        <w:jc w:val="both"/>
        <w:rPr>
          <w:rFonts w:eastAsia="Garamond"/>
          <w:b/>
          <w:bCs/>
          <w:szCs w:val="20"/>
        </w:rPr>
      </w:pPr>
      <w:r w:rsidRPr="00E86614">
        <w:rPr>
          <w:rFonts w:eastAsia="Garamond"/>
          <w:b/>
          <w:szCs w:val="20"/>
        </w:rPr>
        <w:t>Implementación del CÓDIGO ICTUS Paraguay</w:t>
      </w:r>
    </w:p>
    <w:p w14:paraId="5EC93EFF" w14:textId="77777777" w:rsidR="00374E4B" w:rsidRPr="00E86614" w:rsidRDefault="00374E4B" w:rsidP="00374E4B">
      <w:pPr>
        <w:spacing w:after="0" w:line="240" w:lineRule="auto"/>
        <w:jc w:val="both"/>
        <w:rPr>
          <w:rFonts w:eastAsia="Garamond"/>
          <w:szCs w:val="20"/>
        </w:rPr>
      </w:pPr>
      <w:r w:rsidRPr="00E86614">
        <w:rPr>
          <w:rFonts w:eastAsia="Garamond"/>
          <w:szCs w:val="20"/>
        </w:rPr>
        <w:t>Implementación estratégica del sistema TELEICTUS y consolidación del Código Ictus para el manejo del Accidente Cerebrovascular (ACV) isquémico agudo. Esta iniciativa tecnológica y asistencial permite la interconexión entre hospitales de diferentes niveles de complejidad para el diagnóstico precoz y la administración oportuna de trombolíticos, reduciendo drásticamente el tiempo de respuesta ante una emergencia neurológica.</w:t>
      </w:r>
    </w:p>
    <w:p w14:paraId="6982A2E9" w14:textId="77777777" w:rsidR="00374E4B" w:rsidRPr="00E86614" w:rsidRDefault="00374E4B" w:rsidP="00374E4B">
      <w:pPr>
        <w:spacing w:after="0" w:line="240" w:lineRule="auto"/>
        <w:jc w:val="both"/>
        <w:rPr>
          <w:rFonts w:eastAsia="Garamond"/>
          <w:szCs w:val="20"/>
        </w:rPr>
      </w:pPr>
      <w:r w:rsidRPr="00E86614">
        <w:rPr>
          <w:rFonts w:eastAsia="Garamond"/>
          <w:szCs w:val="20"/>
        </w:rPr>
        <w:t>Expansión de red: 8 nuevos hospitales habilitados y 7 regiones sanitarias incorporadas (Alcanzando un total acumulado de 14 hospitales en 12 regiones).</w:t>
      </w:r>
    </w:p>
    <w:p w14:paraId="53B0C286" w14:textId="77777777" w:rsidR="00374E4B" w:rsidRPr="00E86614" w:rsidRDefault="00374E4B" w:rsidP="00374E4B">
      <w:pPr>
        <w:spacing w:after="0" w:line="240" w:lineRule="auto"/>
        <w:jc w:val="both"/>
        <w:rPr>
          <w:rFonts w:eastAsia="Garamond"/>
          <w:szCs w:val="20"/>
        </w:rPr>
      </w:pPr>
      <w:r w:rsidRPr="00E86614">
        <w:rPr>
          <w:rFonts w:eastAsia="Garamond"/>
          <w:szCs w:val="20"/>
        </w:rPr>
        <w:t>Capacidad instalada: 1.264 profesionales de la salud capacitados en protocolos de urgencia neurológica.</w:t>
      </w:r>
    </w:p>
    <w:p w14:paraId="3F236E83" w14:textId="77777777" w:rsidR="00374E4B" w:rsidRDefault="00374E4B" w:rsidP="00374E4B">
      <w:pPr>
        <w:spacing w:after="0" w:line="240" w:lineRule="auto"/>
        <w:jc w:val="both"/>
        <w:rPr>
          <w:rFonts w:eastAsia="Garamond"/>
          <w:szCs w:val="20"/>
        </w:rPr>
      </w:pPr>
      <w:r w:rsidRPr="00E86614">
        <w:rPr>
          <w:rFonts w:eastAsia="Garamond"/>
          <w:szCs w:val="20"/>
        </w:rPr>
        <w:t>Resultados clínicos: 254 activaciones del Código Ictus y 85 pacientes trombolizados exitosamente durante el periodo.</w:t>
      </w:r>
    </w:p>
    <w:p w14:paraId="4D537DA4" w14:textId="77777777" w:rsidR="00374E4B" w:rsidRPr="00E86614" w:rsidRDefault="00374E4B" w:rsidP="00374E4B">
      <w:pPr>
        <w:spacing w:after="0" w:line="240" w:lineRule="auto"/>
        <w:jc w:val="both"/>
        <w:rPr>
          <w:rFonts w:eastAsia="Garamond"/>
          <w:szCs w:val="20"/>
        </w:rPr>
      </w:pPr>
      <w:r w:rsidRPr="00E86614">
        <w:rPr>
          <w:rFonts w:eastAsia="Garamond"/>
          <w:szCs w:val="20"/>
        </w:rPr>
        <w:t>Beneficiarios directos: Personas que sufren un ACV isquémico agudo en territorio nacional, con acceso a tratamiento especializado independientemente de su ubicación geográfica.</w:t>
      </w:r>
    </w:p>
    <w:p w14:paraId="1707E58E" w14:textId="77777777" w:rsidR="00374E4B" w:rsidRPr="00E86614" w:rsidRDefault="00374E4B" w:rsidP="00374E4B">
      <w:pPr>
        <w:spacing w:after="0" w:line="240" w:lineRule="auto"/>
        <w:jc w:val="both"/>
        <w:rPr>
          <w:rFonts w:eastAsia="Garamond"/>
          <w:szCs w:val="20"/>
        </w:rPr>
      </w:pPr>
      <w:r w:rsidRPr="00E86614">
        <w:rPr>
          <w:rFonts w:eastAsia="Garamond"/>
          <w:szCs w:val="20"/>
        </w:rPr>
        <w:t>Localidad: Cobertura en 12 Regiones Sanitarias, con presencia física del protocolo en 14 hospitales estratégicos del país.</w:t>
      </w:r>
    </w:p>
    <w:p w14:paraId="24FE3E6C" w14:textId="77777777" w:rsidR="00374E4B" w:rsidRPr="00E86614" w:rsidRDefault="00374E4B" w:rsidP="00374E4B">
      <w:pPr>
        <w:spacing w:after="0" w:line="240" w:lineRule="auto"/>
        <w:jc w:val="both"/>
        <w:rPr>
          <w:rFonts w:eastAsia="Garamond"/>
          <w:szCs w:val="20"/>
        </w:rPr>
      </w:pPr>
      <w:r w:rsidRPr="00E86614">
        <w:rPr>
          <w:rFonts w:eastAsia="Garamond"/>
          <w:szCs w:val="20"/>
        </w:rPr>
        <w:t>Reducir la mortalidad y la discapacidad, mejorar la sobrevida y favorecer una mejor recuperación funcional y reinserción social y laboral de las personas afectadas.</w:t>
      </w:r>
    </w:p>
    <w:p w14:paraId="48AD73CD" w14:textId="77777777" w:rsidR="00374E4B" w:rsidRPr="00E86614" w:rsidRDefault="00374E4B" w:rsidP="00374E4B">
      <w:pPr>
        <w:spacing w:before="120" w:after="120" w:line="240" w:lineRule="auto"/>
        <w:contextualSpacing/>
        <w:jc w:val="both"/>
        <w:rPr>
          <w:rFonts w:eastAsia="Garamond"/>
          <w:b/>
          <w:bCs/>
          <w:szCs w:val="20"/>
        </w:rPr>
      </w:pPr>
      <w:r w:rsidRPr="00E86614">
        <w:rPr>
          <w:rFonts w:eastAsia="Garamond"/>
          <w:b/>
          <w:bCs/>
          <w:szCs w:val="20"/>
        </w:rPr>
        <w:t>Seguimiento de la implementación del Anticuerpo Monoclonal Nirsevimab contra el VSR (Virus sincitial respiratorio) en Hospitalizados por IRAG (Infecciones respiratorias agudas) en centros centinelas</w:t>
      </w:r>
    </w:p>
    <w:p w14:paraId="41404CA6" w14:textId="38340E6F" w:rsidR="00374E4B" w:rsidRPr="00E86614" w:rsidRDefault="00374E4B" w:rsidP="00374E4B">
      <w:pPr>
        <w:spacing w:after="120" w:line="240" w:lineRule="auto"/>
        <w:jc w:val="both"/>
        <w:rPr>
          <w:rFonts w:eastAsia="Garamond"/>
          <w:szCs w:val="20"/>
        </w:rPr>
      </w:pPr>
      <w:r w:rsidRPr="00E86614">
        <w:rPr>
          <w:rFonts w:eastAsia="Garamond"/>
          <w:szCs w:val="20"/>
        </w:rPr>
        <w:t>Fortalecimiento de la estrategia de vacunación a través de la identificación de Hospitales que no estaban cumpliendo con los objetivos de la campaña de manera a lograr la Reducción de hospitalizaciones por Virus Respiratorio Sincicial (VRS), principal causa de bronquiolitis y neumonía en lactantes.</w:t>
      </w:r>
    </w:p>
    <w:p w14:paraId="5AC95997" w14:textId="77777777" w:rsidR="00374E4B" w:rsidRPr="00E86614" w:rsidRDefault="00374E4B" w:rsidP="00374E4B">
      <w:pPr>
        <w:spacing w:after="0" w:line="240" w:lineRule="auto"/>
        <w:jc w:val="both"/>
        <w:rPr>
          <w:rFonts w:eastAsia="Garamond"/>
          <w:szCs w:val="20"/>
        </w:rPr>
      </w:pPr>
      <w:r w:rsidRPr="00E86614">
        <w:rPr>
          <w:rFonts w:eastAsia="Garamond"/>
          <w:szCs w:val="20"/>
        </w:rPr>
        <w:t>Disminución de casos graves, ingresos en UCI y mortalidad infantil en centros centinelas durante la temporada de VRS en el grupo objetivo de vacunación: nacidos en enero a julio del 2025. https://consultas.mspbs.gov.py/informes/graf_vsrp/</w:t>
      </w:r>
    </w:p>
    <w:p w14:paraId="797ED529" w14:textId="77777777" w:rsidR="00374E4B" w:rsidRPr="00E86614" w:rsidRDefault="00374E4B" w:rsidP="00374E4B">
      <w:pPr>
        <w:spacing w:after="0" w:line="240" w:lineRule="auto"/>
        <w:jc w:val="both"/>
        <w:rPr>
          <w:rFonts w:eastAsia="Garamond"/>
          <w:szCs w:val="20"/>
        </w:rPr>
      </w:pPr>
      <w:r w:rsidRPr="00E86614">
        <w:rPr>
          <w:rFonts w:eastAsia="Garamond"/>
          <w:szCs w:val="20"/>
        </w:rPr>
        <w:t>Hospitales centinela de IRAG; demás servicios con capacidad de hospitalización del País, padres de familia con hijos recién nacidos/lactantes.</w:t>
      </w:r>
    </w:p>
    <w:p w14:paraId="11C487E6" w14:textId="77777777" w:rsidR="00374E4B" w:rsidRPr="00E86614" w:rsidRDefault="00374E4B" w:rsidP="00374E4B">
      <w:pPr>
        <w:spacing w:after="0" w:line="240" w:lineRule="auto"/>
        <w:jc w:val="both"/>
        <w:rPr>
          <w:rFonts w:eastAsia="Garamond"/>
          <w:szCs w:val="20"/>
        </w:rPr>
      </w:pPr>
      <w:r w:rsidRPr="00E86614">
        <w:rPr>
          <w:rFonts w:eastAsia="Garamond"/>
          <w:szCs w:val="20"/>
        </w:rPr>
        <w:t>Protección de recién nacidos y lactantes, menor estrés emocional y económico en las familias por hospitalizaciones, traslados y cuidados prolongados, reducción del ausentismo laboral de madres, padres y cuidadores, mejora del bienestar de las familias al evitar enfermedades graves en los primeros meses de vida.</w:t>
      </w:r>
    </w:p>
    <w:p w14:paraId="3B9E3BBA" w14:textId="77777777" w:rsidR="00374E4B" w:rsidRDefault="00374E4B" w:rsidP="00374E4B">
      <w:pPr>
        <w:spacing w:after="0" w:line="240" w:lineRule="auto"/>
        <w:contextualSpacing/>
        <w:jc w:val="both"/>
        <w:rPr>
          <w:rFonts w:eastAsia="Garamond"/>
          <w:b/>
          <w:bCs/>
          <w:szCs w:val="20"/>
        </w:rPr>
      </w:pPr>
      <w:r w:rsidRPr="00E86614">
        <w:rPr>
          <w:rFonts w:eastAsia="Garamond"/>
          <w:b/>
          <w:bCs/>
          <w:szCs w:val="20"/>
        </w:rPr>
        <w:t>Tablero dinámico de la Planilla Semanal de Eventos de Notificación Obligatoria (PSNEO) de la DGVS-MSPBS).</w:t>
      </w:r>
    </w:p>
    <w:p w14:paraId="479CA5D5" w14:textId="77777777" w:rsidR="00BE2300" w:rsidRDefault="00BE2300" w:rsidP="00374E4B">
      <w:pPr>
        <w:spacing w:after="0" w:line="240" w:lineRule="auto"/>
        <w:contextualSpacing/>
        <w:jc w:val="both"/>
        <w:rPr>
          <w:rFonts w:eastAsia="Garamond"/>
          <w:b/>
          <w:bCs/>
          <w:szCs w:val="20"/>
        </w:rPr>
      </w:pPr>
    </w:p>
    <w:p w14:paraId="1D6A913B" w14:textId="77777777" w:rsidR="00BE2300" w:rsidRDefault="00BE2300" w:rsidP="00374E4B">
      <w:pPr>
        <w:spacing w:after="0" w:line="240" w:lineRule="auto"/>
        <w:contextualSpacing/>
        <w:jc w:val="both"/>
        <w:rPr>
          <w:rFonts w:eastAsia="Garamond"/>
          <w:b/>
          <w:bCs/>
          <w:szCs w:val="20"/>
        </w:rPr>
      </w:pPr>
    </w:p>
    <w:p w14:paraId="19BED13E" w14:textId="77777777" w:rsidR="00BE2300" w:rsidRDefault="00BE2300" w:rsidP="00374E4B">
      <w:pPr>
        <w:spacing w:after="0" w:line="240" w:lineRule="auto"/>
        <w:contextualSpacing/>
        <w:jc w:val="both"/>
        <w:rPr>
          <w:rFonts w:eastAsia="Garamond"/>
          <w:b/>
          <w:bCs/>
          <w:szCs w:val="20"/>
        </w:rPr>
      </w:pPr>
    </w:p>
    <w:p w14:paraId="3B8414AE" w14:textId="77777777" w:rsidR="00BE2300" w:rsidRDefault="00BE2300" w:rsidP="00374E4B">
      <w:pPr>
        <w:spacing w:after="0" w:line="240" w:lineRule="auto"/>
        <w:contextualSpacing/>
        <w:jc w:val="both"/>
        <w:rPr>
          <w:rFonts w:eastAsia="Garamond"/>
          <w:b/>
          <w:bCs/>
          <w:szCs w:val="20"/>
        </w:rPr>
      </w:pPr>
    </w:p>
    <w:p w14:paraId="6AAD1C50" w14:textId="77777777" w:rsidR="00BE2300" w:rsidRDefault="00BE2300" w:rsidP="00374E4B">
      <w:pPr>
        <w:spacing w:after="0" w:line="240" w:lineRule="auto"/>
        <w:contextualSpacing/>
        <w:jc w:val="both"/>
        <w:rPr>
          <w:rFonts w:eastAsia="Garamond"/>
          <w:b/>
          <w:bCs/>
          <w:szCs w:val="20"/>
        </w:rPr>
      </w:pPr>
    </w:p>
    <w:p w14:paraId="195069E8" w14:textId="77777777" w:rsidR="00BE2300" w:rsidRDefault="00BE2300" w:rsidP="00374E4B">
      <w:pPr>
        <w:spacing w:after="0" w:line="240" w:lineRule="auto"/>
        <w:contextualSpacing/>
        <w:jc w:val="both"/>
        <w:rPr>
          <w:rFonts w:eastAsia="Garamond"/>
          <w:b/>
          <w:bCs/>
          <w:szCs w:val="20"/>
        </w:rPr>
      </w:pPr>
    </w:p>
    <w:p w14:paraId="1F9383CB" w14:textId="77777777" w:rsidR="00BE2300" w:rsidRPr="00E86614" w:rsidRDefault="00BE2300" w:rsidP="00374E4B">
      <w:pPr>
        <w:spacing w:after="0" w:line="240" w:lineRule="auto"/>
        <w:contextualSpacing/>
        <w:jc w:val="both"/>
        <w:rPr>
          <w:rFonts w:eastAsia="Garamond"/>
          <w:b/>
          <w:bCs/>
          <w:szCs w:val="20"/>
        </w:rPr>
      </w:pPr>
    </w:p>
    <w:p w14:paraId="406618C0" w14:textId="77777777" w:rsidR="00374E4B" w:rsidRPr="00E86614" w:rsidRDefault="00374E4B" w:rsidP="00374E4B">
      <w:pPr>
        <w:spacing w:after="0" w:line="240" w:lineRule="auto"/>
        <w:jc w:val="both"/>
        <w:rPr>
          <w:rFonts w:eastAsia="Garamond"/>
          <w:szCs w:val="20"/>
        </w:rPr>
      </w:pPr>
      <w:r w:rsidRPr="00E86614">
        <w:rPr>
          <w:rFonts w:eastAsia="Garamond"/>
          <w:szCs w:val="20"/>
        </w:rPr>
        <w:t>El tablero PSENO constituye una herramienta digital que permite monitorear semanalmente la notificación clínica de ENO y síndromes priorizados, captados por la Planilla Semanal. El Objetivo general es apoyar la detección temprana de señales y alertas epidemiológicas, facilitando la toma de decisiones oportunas en vigilancia y control.</w:t>
      </w:r>
    </w:p>
    <w:p w14:paraId="27D050D9" w14:textId="77777777" w:rsidR="00374E4B" w:rsidRPr="00E86614" w:rsidRDefault="00374E4B" w:rsidP="00374E4B">
      <w:pPr>
        <w:spacing w:after="0" w:line="240" w:lineRule="auto"/>
        <w:jc w:val="both"/>
        <w:rPr>
          <w:rFonts w:eastAsia="Garamond"/>
          <w:szCs w:val="20"/>
        </w:rPr>
      </w:pPr>
      <w:r w:rsidRPr="00E86614">
        <w:rPr>
          <w:rFonts w:eastAsia="Garamond"/>
          <w:szCs w:val="20"/>
        </w:rPr>
        <w:t>Tablero disponible en página web institucional: https://consultas.mspbs.gov.py/informes/graf_pls/grafico.html</w:t>
      </w:r>
    </w:p>
    <w:p w14:paraId="7DBA592A" w14:textId="77777777" w:rsidR="00374E4B" w:rsidRDefault="00374E4B" w:rsidP="00374E4B">
      <w:pPr>
        <w:spacing w:after="0" w:line="240" w:lineRule="auto"/>
        <w:jc w:val="both"/>
        <w:rPr>
          <w:rFonts w:eastAsia="Garamond"/>
          <w:szCs w:val="20"/>
        </w:rPr>
      </w:pPr>
      <w:r w:rsidRPr="00E86614">
        <w:rPr>
          <w:rFonts w:eastAsia="Garamond"/>
          <w:szCs w:val="20"/>
        </w:rPr>
        <w:t>Equipos de vigilancia (DGVS, regiones sanitarias, distritos/servicios), gestores de programas y tomadores de decisión. Uso principal: seguimiento rutinario semanal, verificación y alerta temprana, retroalimentación sobre calidad de datos y desempeño de notificación</w:t>
      </w:r>
      <w:r>
        <w:rPr>
          <w:rFonts w:eastAsia="Garamond"/>
          <w:szCs w:val="20"/>
        </w:rPr>
        <w:t xml:space="preserve"> </w:t>
      </w:r>
    </w:p>
    <w:p w14:paraId="70FB9345" w14:textId="77777777" w:rsidR="00374E4B" w:rsidRPr="00E86614" w:rsidRDefault="00374E4B" w:rsidP="00374E4B">
      <w:pPr>
        <w:spacing w:after="0" w:line="240" w:lineRule="auto"/>
        <w:jc w:val="both"/>
        <w:rPr>
          <w:rFonts w:eastAsia="Garamond"/>
          <w:szCs w:val="20"/>
        </w:rPr>
      </w:pPr>
      <w:r w:rsidRPr="00E86614">
        <w:rPr>
          <w:rFonts w:eastAsia="Garamond"/>
          <w:szCs w:val="20"/>
        </w:rPr>
        <w:t>El Tablero PSENO es una herramienta estratégica que refuerza la transparencia institucional y la confianza ciudadana, mejora la capacidad de respuesta sanitaria con detección temprana de brotes y optimiza la asignación de recursos, al tiempo que impulsa la colaboración académica y social mediante datos abiertos.</w:t>
      </w:r>
    </w:p>
    <w:p w14:paraId="7E4DB75F" w14:textId="77777777" w:rsidR="00374E4B" w:rsidRDefault="00374E4B" w:rsidP="00374E4B">
      <w:pPr>
        <w:spacing w:before="120" w:after="0" w:line="240" w:lineRule="auto"/>
        <w:contextualSpacing/>
        <w:jc w:val="both"/>
        <w:rPr>
          <w:rFonts w:eastAsia="Garamond"/>
          <w:b/>
          <w:bCs/>
          <w:szCs w:val="20"/>
        </w:rPr>
      </w:pPr>
      <w:r w:rsidRPr="00E86614">
        <w:rPr>
          <w:rFonts w:eastAsia="Garamond"/>
          <w:b/>
          <w:bCs/>
          <w:szCs w:val="20"/>
        </w:rPr>
        <w:t>Fortalecimiento de la infraestructura sanitaria en pasos de frontera mediante la adquisición de contenedores equipados para evaluación, entrevista, aislamiento y estar transitorio(lactancia), y el reacondicionamiento de puntos de entrada estratégicos del país</w:t>
      </w:r>
    </w:p>
    <w:p w14:paraId="0680BAB7" w14:textId="77777777" w:rsidR="00374E4B" w:rsidRDefault="00374E4B" w:rsidP="00374E4B">
      <w:pPr>
        <w:spacing w:before="120" w:after="0" w:line="240" w:lineRule="auto"/>
        <w:contextualSpacing/>
        <w:jc w:val="both"/>
        <w:rPr>
          <w:rFonts w:eastAsia="Garamond"/>
          <w:b/>
          <w:bCs/>
          <w:szCs w:val="20"/>
        </w:rPr>
      </w:pPr>
      <w:r w:rsidRPr="00E86614">
        <w:rPr>
          <w:rFonts w:eastAsia="Garamond"/>
          <w:szCs w:val="20"/>
        </w:rPr>
        <w:t>En cumplimiento del Reglamento Sanitario Internacional (RSI 2005) y como respuesta a las lecciones aprendidas tras la pandemia de COVID-19, se fortaleció la infraestructura sanitaria en fronteras estratégicas. Mediante el financiamiento del Proyecto Fondo para Pandemias, se logró dotar a los puntos de entrada (PdE) de instalaciones físicas adecuadas para la vigilancia epidemiológica activa, asegurando espacios dignos para la evaluación, el aislamiento preventivo y la atención de grupos vulnerables.</w:t>
      </w:r>
    </w:p>
    <w:p w14:paraId="1387B40F" w14:textId="77777777" w:rsidR="00374E4B" w:rsidRDefault="00374E4B" w:rsidP="00374E4B">
      <w:pPr>
        <w:spacing w:before="120" w:after="0" w:line="240" w:lineRule="auto"/>
        <w:contextualSpacing/>
        <w:jc w:val="both"/>
        <w:rPr>
          <w:rFonts w:eastAsia="Garamond"/>
          <w:b/>
          <w:bCs/>
          <w:szCs w:val="20"/>
        </w:rPr>
      </w:pPr>
      <w:r w:rsidRPr="00E86614">
        <w:rPr>
          <w:rFonts w:eastAsia="Garamond"/>
          <w:szCs w:val="20"/>
        </w:rPr>
        <w:t>Adquisición e instalación de un (1) contenedor sanitario multifuncional de alta complejidad en Encarnación (equipado para entrevistas, evaluación, aislamiento y lactancia).</w:t>
      </w:r>
    </w:p>
    <w:p w14:paraId="5813520E" w14:textId="77777777" w:rsidR="00374E4B" w:rsidRDefault="00374E4B" w:rsidP="00374E4B">
      <w:pPr>
        <w:spacing w:before="120" w:after="0" w:line="240" w:lineRule="auto"/>
        <w:contextualSpacing/>
        <w:jc w:val="both"/>
        <w:rPr>
          <w:rFonts w:eastAsia="Garamond"/>
          <w:b/>
          <w:bCs/>
          <w:szCs w:val="20"/>
        </w:rPr>
      </w:pPr>
      <w:r w:rsidRPr="00E86614">
        <w:rPr>
          <w:rFonts w:eastAsia="Garamond"/>
          <w:szCs w:val="20"/>
        </w:rPr>
        <w:t>Obras civiles: Intervenciones de refaccionamiento y reacondicionamiento estructural en los PdE de: Puerto Falcón, Pedro Juan Caballero, Salto del Guairá, Infante Rivarola y Ciudad del Este.</w:t>
      </w:r>
    </w:p>
    <w:p w14:paraId="783FBC2C" w14:textId="77777777" w:rsidR="00374E4B" w:rsidRPr="007E423E" w:rsidRDefault="00374E4B" w:rsidP="00374E4B">
      <w:pPr>
        <w:spacing w:before="120" w:after="0" w:line="240" w:lineRule="auto"/>
        <w:contextualSpacing/>
        <w:jc w:val="both"/>
        <w:rPr>
          <w:rFonts w:eastAsia="Garamond"/>
          <w:b/>
          <w:bCs/>
          <w:szCs w:val="20"/>
        </w:rPr>
      </w:pPr>
      <w:r w:rsidRPr="00E86614">
        <w:rPr>
          <w:rFonts w:eastAsia="Garamond"/>
          <w:szCs w:val="20"/>
        </w:rPr>
        <w:t>Población objetivo: Viajeros nacionales e internacionales y personal operativo de control fronterizo.</w:t>
      </w:r>
    </w:p>
    <w:p w14:paraId="4022E310" w14:textId="77777777" w:rsidR="00374E4B" w:rsidRDefault="00374E4B" w:rsidP="00374E4B">
      <w:pPr>
        <w:spacing w:after="0" w:line="240" w:lineRule="auto"/>
        <w:jc w:val="both"/>
        <w:rPr>
          <w:rFonts w:eastAsia="Garamond"/>
          <w:szCs w:val="20"/>
        </w:rPr>
      </w:pPr>
      <w:r w:rsidRPr="00E86614">
        <w:rPr>
          <w:rFonts w:eastAsia="Garamond"/>
          <w:szCs w:val="20"/>
        </w:rPr>
        <w:t>Localidades de impacto: Zonas fronterizas de alta densidad de tránsito, específicamente: Encarnación (Itapúa), Puerto Falcón (Presidente Hayes), Ciudad del Este (Alto Paraná), Pedro Juan Caballero (Amambay), Salto del Guairá (Canindeyú) e Infante Rivarola (Boquerón).</w:t>
      </w:r>
    </w:p>
    <w:p w14:paraId="156DB90D" w14:textId="77777777" w:rsidR="00374E4B" w:rsidRPr="00E86614" w:rsidRDefault="00374E4B" w:rsidP="00786519">
      <w:pPr>
        <w:spacing w:after="0" w:line="240" w:lineRule="auto"/>
        <w:rPr>
          <w:rFonts w:eastAsia="Garamond"/>
          <w:szCs w:val="20"/>
        </w:rPr>
      </w:pPr>
      <w:r w:rsidRPr="00E86614">
        <w:rPr>
          <w:rFonts w:eastAsia="Garamond"/>
          <w:szCs w:val="20"/>
        </w:rPr>
        <w:t>Reducción del riesgo de introducción y propagación de Enfermedades de Salud Pública de Importancia Internacional (ESPII).</w:t>
      </w:r>
    </w:p>
    <w:p w14:paraId="2D60F234" w14:textId="77777777" w:rsidR="00374E4B" w:rsidRPr="00E86614" w:rsidRDefault="00374E4B" w:rsidP="00786519">
      <w:pPr>
        <w:spacing w:after="0" w:line="240" w:lineRule="auto"/>
        <w:rPr>
          <w:rFonts w:eastAsia="Garamond"/>
          <w:szCs w:val="20"/>
        </w:rPr>
      </w:pPr>
      <w:r w:rsidRPr="00E86614">
        <w:rPr>
          <w:rFonts w:eastAsia="Garamond"/>
          <w:szCs w:val="20"/>
        </w:rPr>
        <w:t>Disponibilidad de espacios adecuados para la lactancia materna y el resguardo transitorio, garantizando una atención sanitaria segura y digna en frontera.</w:t>
      </w:r>
    </w:p>
    <w:p w14:paraId="360E979E" w14:textId="77777777" w:rsidR="00786519" w:rsidRPr="00786519" w:rsidRDefault="00374E4B" w:rsidP="00786519">
      <w:pPr>
        <w:spacing w:after="0" w:line="240" w:lineRule="auto"/>
        <w:rPr>
          <w:rFonts w:eastAsia="Garamond"/>
          <w:b/>
          <w:bCs/>
          <w:sz w:val="10"/>
          <w:szCs w:val="10"/>
          <w:lang w:val="es-PY"/>
        </w:rPr>
      </w:pPr>
      <w:r w:rsidRPr="00E86614">
        <w:rPr>
          <w:rFonts w:eastAsia="Garamond"/>
          <w:szCs w:val="20"/>
        </w:rPr>
        <w:t>Fortalecimiento de la capacidad de respuesta inmediata ante alertas epidemiológicas en puntos críticos de ingreso</w:t>
      </w:r>
      <w:r w:rsidR="00786519">
        <w:rPr>
          <w:rFonts w:eastAsia="Garamond"/>
          <w:szCs w:val="20"/>
        </w:rPr>
        <w:t xml:space="preserve"> </w:t>
      </w:r>
      <w:r w:rsidRPr="00E86614">
        <w:rPr>
          <w:rFonts w:eastAsia="Garamond"/>
          <w:szCs w:val="20"/>
        </w:rPr>
        <w:t>al país.</w:t>
      </w:r>
      <w:r w:rsidRPr="00E86614">
        <w:rPr>
          <w:rFonts w:eastAsia="Garamond"/>
          <w:szCs w:val="20"/>
        </w:rPr>
        <w:br w:type="textWrapping" w:clear="all"/>
      </w:r>
    </w:p>
    <w:p w14:paraId="7B387D7E" w14:textId="28647C25" w:rsidR="00374E4B" w:rsidRPr="00786519" w:rsidRDefault="00786519" w:rsidP="00374E4B">
      <w:pPr>
        <w:spacing w:line="240" w:lineRule="auto"/>
        <w:jc w:val="both"/>
        <w:rPr>
          <w:rFonts w:eastAsia="Garamond"/>
          <w:b/>
          <w:bCs/>
          <w:szCs w:val="20"/>
          <w:lang w:val="es-PY"/>
        </w:rPr>
      </w:pPr>
      <w:r w:rsidRPr="00786519">
        <w:rPr>
          <w:rFonts w:eastAsia="Garamond"/>
          <w:b/>
          <w:bCs/>
          <w:szCs w:val="20"/>
          <w:lang w:val="es-PY"/>
        </w:rPr>
        <w:t>PROGRAMA NACIONAL DE DIABETES</w:t>
      </w:r>
    </w:p>
    <w:p w14:paraId="41334B5A" w14:textId="77777777" w:rsidR="00374E4B" w:rsidRDefault="00374E4B" w:rsidP="00374E4B">
      <w:pPr>
        <w:spacing w:line="240" w:lineRule="auto"/>
        <w:jc w:val="both"/>
        <w:rPr>
          <w:bCs/>
          <w:szCs w:val="23"/>
        </w:rPr>
      </w:pPr>
      <w:r w:rsidRPr="0060473E">
        <w:rPr>
          <w:bCs/>
          <w:szCs w:val="23"/>
        </w:rPr>
        <w:t>Implementación de un Modelo Integral de Curación Avanzada para Heridas Complejas en Diabetes</w:t>
      </w:r>
      <w:r>
        <w:rPr>
          <w:bCs/>
          <w:szCs w:val="23"/>
        </w:rPr>
        <w:t xml:space="preserve">. </w:t>
      </w:r>
      <w:r w:rsidRPr="0060473E">
        <w:rPr>
          <w:bCs/>
          <w:szCs w:val="23"/>
        </w:rPr>
        <w:t>Durante el periodo 2025, se consolidó un avance significativo en la atención de pacientes con diabetes que presentan complicaciones de alto riesgo, mediante la instalación e implementación de un sistema avanzado y especializado para la curación de heridas complejas, enfocado específicamente en:</w:t>
      </w:r>
      <w:r>
        <w:rPr>
          <w:bCs/>
          <w:szCs w:val="23"/>
        </w:rPr>
        <w:t xml:space="preserve"> </w:t>
      </w:r>
      <w:r w:rsidRPr="0060473E">
        <w:rPr>
          <w:bCs/>
          <w:szCs w:val="23"/>
        </w:rPr>
        <w:t>Pie diabético con lesiones de difícil resolución.</w:t>
      </w:r>
      <w:r>
        <w:rPr>
          <w:bCs/>
          <w:szCs w:val="23"/>
        </w:rPr>
        <w:t xml:space="preserve"> </w:t>
      </w:r>
      <w:r w:rsidRPr="0060473E">
        <w:rPr>
          <w:bCs/>
          <w:szCs w:val="23"/>
        </w:rPr>
        <w:t>Úlceras crónicas en miembros inferiores con evolución de meses o incluso años.</w:t>
      </w:r>
      <w:r>
        <w:rPr>
          <w:bCs/>
          <w:szCs w:val="23"/>
        </w:rPr>
        <w:t xml:space="preserve"> </w:t>
      </w:r>
      <w:r w:rsidRPr="0060473E">
        <w:rPr>
          <w:bCs/>
          <w:szCs w:val="23"/>
        </w:rPr>
        <w:t>Este logro se materializó a través de un modelo de intervención estructurado en tres componentes fundamentales:</w:t>
      </w:r>
      <w:r>
        <w:rPr>
          <w:bCs/>
          <w:szCs w:val="23"/>
        </w:rPr>
        <w:t xml:space="preserve"> </w:t>
      </w:r>
      <w:r w:rsidRPr="0060473E">
        <w:rPr>
          <w:bCs/>
          <w:szCs w:val="23"/>
        </w:rPr>
        <w:t>Innovación Tecnológica y Terapéutica</w:t>
      </w:r>
      <w:r>
        <w:rPr>
          <w:bCs/>
          <w:szCs w:val="23"/>
        </w:rPr>
        <w:t xml:space="preserve">: </w:t>
      </w:r>
      <w:r w:rsidRPr="0060473E">
        <w:rPr>
          <w:bCs/>
          <w:szCs w:val="23"/>
        </w:rPr>
        <w:t>Terapia Biológica Avanzada: Se introdujo y estandarizó el uso de parches personalizados de material biológico autólogo, fabricados a partir de los propios tejidos del paciente utilizando una Bio Impresora en 3D. Esta tecnología de vanguardia estimula la regeneración tisular y ofrece una alternativa efectiva para heridas que no respondían a los tratamientos convencionales.</w:t>
      </w:r>
      <w:r>
        <w:rPr>
          <w:bCs/>
          <w:szCs w:val="23"/>
        </w:rPr>
        <w:t xml:space="preserve"> </w:t>
      </w:r>
    </w:p>
    <w:p w14:paraId="50B450F0" w14:textId="77777777" w:rsidR="00BE2300" w:rsidRDefault="00BE2300" w:rsidP="00374E4B">
      <w:pPr>
        <w:spacing w:line="240" w:lineRule="auto"/>
        <w:jc w:val="both"/>
        <w:rPr>
          <w:bCs/>
          <w:szCs w:val="23"/>
        </w:rPr>
      </w:pPr>
    </w:p>
    <w:p w14:paraId="684D1162" w14:textId="77777777" w:rsidR="00BE2300" w:rsidRDefault="00BE2300" w:rsidP="00374E4B">
      <w:pPr>
        <w:spacing w:line="240" w:lineRule="auto"/>
        <w:jc w:val="both"/>
        <w:rPr>
          <w:bCs/>
          <w:szCs w:val="23"/>
        </w:rPr>
      </w:pPr>
    </w:p>
    <w:p w14:paraId="0840E827" w14:textId="77777777" w:rsidR="00BE2300" w:rsidRDefault="00BE2300" w:rsidP="00374E4B">
      <w:pPr>
        <w:spacing w:line="240" w:lineRule="auto"/>
        <w:jc w:val="both"/>
        <w:rPr>
          <w:bCs/>
          <w:szCs w:val="23"/>
        </w:rPr>
      </w:pPr>
    </w:p>
    <w:p w14:paraId="2DC84960" w14:textId="77777777" w:rsidR="00BE2300" w:rsidRDefault="00BE2300" w:rsidP="00374E4B">
      <w:pPr>
        <w:spacing w:line="240" w:lineRule="auto"/>
        <w:jc w:val="both"/>
        <w:rPr>
          <w:bCs/>
          <w:szCs w:val="23"/>
        </w:rPr>
      </w:pPr>
    </w:p>
    <w:p w14:paraId="45802223" w14:textId="77777777" w:rsidR="00BE2300" w:rsidRPr="007E423E" w:rsidRDefault="00BE2300" w:rsidP="00374E4B">
      <w:pPr>
        <w:spacing w:line="240" w:lineRule="auto"/>
        <w:jc w:val="both"/>
        <w:rPr>
          <w:rFonts w:eastAsia="Garamond"/>
          <w:b/>
          <w:bCs/>
          <w:lang w:val="es-PY"/>
        </w:rPr>
      </w:pPr>
    </w:p>
    <w:p w14:paraId="67DE89D8" w14:textId="77777777" w:rsidR="00374E4B" w:rsidRPr="00786519" w:rsidRDefault="00374E4B" w:rsidP="00786519">
      <w:pPr>
        <w:spacing w:before="120" w:after="0" w:line="240" w:lineRule="auto"/>
        <w:jc w:val="both"/>
        <w:rPr>
          <w:b/>
          <w:bCs/>
          <w:szCs w:val="20"/>
          <w:lang w:eastAsia="es-ES"/>
        </w:rPr>
      </w:pPr>
      <w:r w:rsidRPr="00786519">
        <w:rPr>
          <w:b/>
          <w:bCs/>
          <w:szCs w:val="20"/>
          <w:lang w:eastAsia="es-ES"/>
        </w:rPr>
        <w:t xml:space="preserve">DIRECCIÓN GENERAL DE PROMOCIÓN DE LA SALUD </w:t>
      </w:r>
    </w:p>
    <w:p w14:paraId="5F5B0E9D" w14:textId="77777777" w:rsidR="00374E4B" w:rsidRPr="00057271" w:rsidRDefault="00374E4B" w:rsidP="00374E4B">
      <w:pPr>
        <w:tabs>
          <w:tab w:val="left" w:pos="567"/>
        </w:tabs>
        <w:spacing w:after="0" w:line="240" w:lineRule="auto"/>
        <w:contextualSpacing/>
        <w:jc w:val="both"/>
        <w:rPr>
          <w:rFonts w:eastAsia="Calibri"/>
          <w:b/>
          <w:szCs w:val="20"/>
          <w:lang w:val="es-PY"/>
        </w:rPr>
      </w:pPr>
      <w:r w:rsidRPr="00057271">
        <w:rPr>
          <w:rFonts w:eastAsia="Calibri"/>
          <w:b/>
          <w:szCs w:val="20"/>
          <w:lang w:val="es-PY"/>
        </w:rPr>
        <w:t>Estrategia Municipio Saludable.</w:t>
      </w:r>
    </w:p>
    <w:p w14:paraId="434C937F" w14:textId="77777777" w:rsidR="00374E4B" w:rsidRPr="00057271" w:rsidRDefault="00374E4B" w:rsidP="00374E4B">
      <w:pPr>
        <w:tabs>
          <w:tab w:val="left" w:pos="567"/>
        </w:tabs>
        <w:spacing w:after="0" w:line="240" w:lineRule="auto"/>
        <w:jc w:val="both"/>
        <w:rPr>
          <w:rFonts w:eastAsia="Calibri"/>
          <w:szCs w:val="20"/>
          <w:lang w:val="es-PY"/>
        </w:rPr>
      </w:pPr>
      <w:r w:rsidRPr="00057271">
        <w:rPr>
          <w:rFonts w:eastAsia="Calibri"/>
          <w:szCs w:val="20"/>
          <w:lang w:val="es-PY"/>
        </w:rPr>
        <w:t>247 municipios se encuentran en proceso de implementación de la estrategia Municipio Saludable, en diferentes etapas:</w:t>
      </w:r>
    </w:p>
    <w:p w14:paraId="6BC34FA4" w14:textId="77777777" w:rsidR="00374E4B" w:rsidRPr="00057271" w:rsidRDefault="00374E4B" w:rsidP="000D7013">
      <w:pPr>
        <w:numPr>
          <w:ilvl w:val="0"/>
          <w:numId w:val="14"/>
        </w:numPr>
        <w:tabs>
          <w:tab w:val="left" w:pos="567"/>
        </w:tabs>
        <w:spacing w:after="0" w:line="240" w:lineRule="auto"/>
        <w:ind w:left="142" w:hanging="142"/>
        <w:contextualSpacing/>
        <w:jc w:val="both"/>
        <w:rPr>
          <w:rFonts w:eastAsia="Calibri"/>
          <w:szCs w:val="20"/>
          <w:lang w:val="es-PY"/>
        </w:rPr>
      </w:pPr>
      <w:r w:rsidRPr="00057271">
        <w:rPr>
          <w:rFonts w:eastAsia="Calibri"/>
          <w:szCs w:val="20"/>
          <w:lang w:val="es-PY"/>
        </w:rPr>
        <w:t>247 cuentan con carta intención.</w:t>
      </w:r>
    </w:p>
    <w:p w14:paraId="3ED344FC" w14:textId="77777777" w:rsidR="00374E4B" w:rsidRPr="00057271" w:rsidRDefault="00374E4B" w:rsidP="000D7013">
      <w:pPr>
        <w:numPr>
          <w:ilvl w:val="0"/>
          <w:numId w:val="14"/>
        </w:numPr>
        <w:tabs>
          <w:tab w:val="left" w:pos="567"/>
        </w:tabs>
        <w:spacing w:after="0" w:line="240" w:lineRule="auto"/>
        <w:ind w:left="142" w:hanging="142"/>
        <w:contextualSpacing/>
        <w:jc w:val="both"/>
        <w:rPr>
          <w:rFonts w:eastAsia="Calibri"/>
          <w:szCs w:val="20"/>
          <w:lang w:val="es-PY"/>
        </w:rPr>
      </w:pPr>
      <w:r w:rsidRPr="00057271">
        <w:rPr>
          <w:rFonts w:eastAsia="Calibri"/>
          <w:szCs w:val="20"/>
          <w:lang w:val="es-PY"/>
        </w:rPr>
        <w:t>244 con resolución de adherencia.</w:t>
      </w:r>
    </w:p>
    <w:p w14:paraId="4A0A3B82" w14:textId="77777777" w:rsidR="00374E4B" w:rsidRPr="00057271" w:rsidRDefault="00374E4B" w:rsidP="000D7013">
      <w:pPr>
        <w:numPr>
          <w:ilvl w:val="0"/>
          <w:numId w:val="14"/>
        </w:numPr>
        <w:tabs>
          <w:tab w:val="left" w:pos="567"/>
        </w:tabs>
        <w:spacing w:after="0" w:line="240" w:lineRule="auto"/>
        <w:ind w:left="142" w:hanging="142"/>
        <w:contextualSpacing/>
        <w:jc w:val="both"/>
        <w:rPr>
          <w:rFonts w:eastAsia="Calibri"/>
          <w:szCs w:val="20"/>
          <w:lang w:val="es-PY"/>
        </w:rPr>
      </w:pPr>
      <w:r w:rsidRPr="00057271">
        <w:rPr>
          <w:rFonts w:eastAsia="Calibri"/>
          <w:szCs w:val="20"/>
          <w:lang w:val="es-PY"/>
        </w:rPr>
        <w:t>238 con carta compromiso.</w:t>
      </w:r>
    </w:p>
    <w:p w14:paraId="0599BA67" w14:textId="77777777" w:rsidR="00374E4B" w:rsidRPr="00057271" w:rsidRDefault="00374E4B" w:rsidP="000D7013">
      <w:pPr>
        <w:numPr>
          <w:ilvl w:val="0"/>
          <w:numId w:val="14"/>
        </w:numPr>
        <w:tabs>
          <w:tab w:val="left" w:pos="567"/>
        </w:tabs>
        <w:spacing w:after="0" w:line="240" w:lineRule="auto"/>
        <w:ind w:left="142" w:hanging="142"/>
        <w:contextualSpacing/>
        <w:jc w:val="both"/>
        <w:rPr>
          <w:rFonts w:eastAsia="Calibri"/>
          <w:szCs w:val="20"/>
          <w:lang w:val="es-PY"/>
        </w:rPr>
      </w:pPr>
      <w:r w:rsidRPr="00057271">
        <w:rPr>
          <w:rFonts w:eastAsia="Calibri"/>
          <w:szCs w:val="20"/>
          <w:lang w:val="es-PY"/>
        </w:rPr>
        <w:t>156 con acta de conformación de grupo conductor.</w:t>
      </w:r>
    </w:p>
    <w:p w14:paraId="7590C287" w14:textId="77777777" w:rsidR="00374E4B" w:rsidRPr="00057271" w:rsidRDefault="00374E4B" w:rsidP="000D7013">
      <w:pPr>
        <w:numPr>
          <w:ilvl w:val="0"/>
          <w:numId w:val="14"/>
        </w:numPr>
        <w:tabs>
          <w:tab w:val="left" w:pos="567"/>
        </w:tabs>
        <w:spacing w:after="0" w:line="240" w:lineRule="auto"/>
        <w:ind w:left="142" w:hanging="142"/>
        <w:contextualSpacing/>
        <w:jc w:val="both"/>
        <w:rPr>
          <w:rFonts w:eastAsia="Calibri"/>
          <w:szCs w:val="20"/>
          <w:lang w:val="es-PY"/>
        </w:rPr>
      </w:pPr>
      <w:r w:rsidRPr="00057271">
        <w:rPr>
          <w:rFonts w:eastAsia="Calibri"/>
          <w:szCs w:val="20"/>
          <w:lang w:val="es-PY"/>
        </w:rPr>
        <w:t>164 con Planes Locales de Salud Participativos elaborados.</w:t>
      </w:r>
    </w:p>
    <w:p w14:paraId="4D83AF53" w14:textId="1004C2A6" w:rsidR="00374E4B" w:rsidRPr="00057271" w:rsidRDefault="00374E4B" w:rsidP="000D7013">
      <w:pPr>
        <w:numPr>
          <w:ilvl w:val="0"/>
          <w:numId w:val="14"/>
        </w:numPr>
        <w:tabs>
          <w:tab w:val="left" w:pos="567"/>
        </w:tabs>
        <w:spacing w:after="0" w:line="240" w:lineRule="auto"/>
        <w:ind w:left="142" w:hanging="142"/>
        <w:contextualSpacing/>
        <w:jc w:val="both"/>
        <w:rPr>
          <w:rFonts w:eastAsia="Calibri"/>
          <w:szCs w:val="20"/>
          <w:lang w:val="es-PY"/>
        </w:rPr>
      </w:pPr>
      <w:r w:rsidRPr="00057271">
        <w:rPr>
          <w:rFonts w:eastAsia="Calibri"/>
          <w:szCs w:val="20"/>
          <w:lang w:val="es-PY"/>
        </w:rPr>
        <w:t xml:space="preserve">104 </w:t>
      </w:r>
      <w:r w:rsidR="00FC22A8" w:rsidRPr="00057271">
        <w:rPr>
          <w:rFonts w:eastAsia="Calibri"/>
          <w:szCs w:val="20"/>
          <w:lang w:val="es-PY"/>
        </w:rPr>
        <w:t>planes</w:t>
      </w:r>
      <w:r w:rsidRPr="00057271">
        <w:rPr>
          <w:rFonts w:eastAsia="Calibri"/>
          <w:szCs w:val="20"/>
          <w:lang w:val="es-PY"/>
        </w:rPr>
        <w:t xml:space="preserve"> Locales Participativos presentados y en proceso de implementación.</w:t>
      </w:r>
    </w:p>
    <w:p w14:paraId="4FE9EDC6" w14:textId="60F29F51" w:rsidR="00374E4B" w:rsidRPr="00057271" w:rsidRDefault="00374E4B" w:rsidP="000D7013">
      <w:pPr>
        <w:numPr>
          <w:ilvl w:val="0"/>
          <w:numId w:val="14"/>
        </w:numPr>
        <w:tabs>
          <w:tab w:val="left" w:pos="567"/>
        </w:tabs>
        <w:spacing w:after="0" w:line="240" w:lineRule="auto"/>
        <w:ind w:left="142" w:hanging="142"/>
        <w:contextualSpacing/>
        <w:jc w:val="both"/>
        <w:rPr>
          <w:rFonts w:eastAsia="Calibri"/>
          <w:szCs w:val="20"/>
          <w:lang w:val="es-PY"/>
        </w:rPr>
      </w:pPr>
      <w:r w:rsidRPr="00057271">
        <w:rPr>
          <w:rFonts w:eastAsia="Calibri"/>
          <w:szCs w:val="20"/>
          <w:lang w:val="es-PY"/>
        </w:rPr>
        <w:t xml:space="preserve">98 </w:t>
      </w:r>
      <w:r w:rsidR="00FC22A8" w:rsidRPr="00057271">
        <w:rPr>
          <w:rFonts w:eastAsia="Calibri"/>
          <w:szCs w:val="20"/>
          <w:lang w:val="es-PY"/>
        </w:rPr>
        <w:t>políticas</w:t>
      </w:r>
      <w:r w:rsidRPr="00057271">
        <w:rPr>
          <w:rFonts w:eastAsia="Calibri"/>
          <w:szCs w:val="20"/>
          <w:lang w:val="es-PY"/>
        </w:rPr>
        <w:t xml:space="preserve"> Públicas emitidas.</w:t>
      </w:r>
    </w:p>
    <w:p w14:paraId="5C53B0FA" w14:textId="77777777" w:rsidR="00374E4B" w:rsidRPr="00057271" w:rsidRDefault="00374E4B" w:rsidP="000D7013">
      <w:pPr>
        <w:numPr>
          <w:ilvl w:val="0"/>
          <w:numId w:val="14"/>
        </w:numPr>
        <w:tabs>
          <w:tab w:val="left" w:pos="567"/>
        </w:tabs>
        <w:spacing w:after="0" w:line="240" w:lineRule="auto"/>
        <w:ind w:left="142" w:hanging="142"/>
        <w:contextualSpacing/>
        <w:jc w:val="both"/>
        <w:rPr>
          <w:rFonts w:eastAsia="Calibri"/>
          <w:szCs w:val="20"/>
          <w:lang w:val="es-PY"/>
        </w:rPr>
      </w:pPr>
      <w:r w:rsidRPr="00057271">
        <w:rPr>
          <w:rFonts w:eastAsia="Calibri"/>
          <w:szCs w:val="20"/>
          <w:lang w:val="es-PY"/>
        </w:rPr>
        <w:t>55 informes de avance de los Planes presentados.</w:t>
      </w:r>
    </w:p>
    <w:p w14:paraId="11B93DD1" w14:textId="0B6376CC" w:rsidR="00374E4B" w:rsidRPr="00057271" w:rsidRDefault="00374E4B" w:rsidP="000D7013">
      <w:pPr>
        <w:numPr>
          <w:ilvl w:val="0"/>
          <w:numId w:val="14"/>
        </w:numPr>
        <w:tabs>
          <w:tab w:val="left" w:pos="567"/>
        </w:tabs>
        <w:spacing w:after="0" w:line="240" w:lineRule="auto"/>
        <w:ind w:left="142" w:hanging="142"/>
        <w:contextualSpacing/>
        <w:jc w:val="both"/>
        <w:rPr>
          <w:rFonts w:eastAsia="Calibri"/>
          <w:szCs w:val="20"/>
          <w:lang w:val="es-PY"/>
        </w:rPr>
      </w:pPr>
      <w:r w:rsidRPr="00057271">
        <w:rPr>
          <w:rFonts w:eastAsia="Calibri"/>
          <w:szCs w:val="20"/>
          <w:lang w:val="es-PY"/>
        </w:rPr>
        <w:t xml:space="preserve">1 </w:t>
      </w:r>
      <w:r w:rsidR="00FC22A8" w:rsidRPr="00057271">
        <w:rPr>
          <w:rFonts w:eastAsia="Calibri"/>
          <w:szCs w:val="20"/>
          <w:lang w:val="es-PY"/>
        </w:rPr>
        <w:t>guía</w:t>
      </w:r>
      <w:r w:rsidRPr="00057271">
        <w:rPr>
          <w:rFonts w:eastAsia="Calibri"/>
          <w:szCs w:val="20"/>
          <w:lang w:val="es-PY"/>
        </w:rPr>
        <w:t xml:space="preserve"> de implementación de la Estrategia Municipio Saludable publicada.</w:t>
      </w:r>
    </w:p>
    <w:p w14:paraId="0A8529FC" w14:textId="77777777" w:rsidR="00374E4B" w:rsidRPr="00057271" w:rsidRDefault="00374E4B" w:rsidP="00374E4B">
      <w:pPr>
        <w:tabs>
          <w:tab w:val="left" w:pos="567"/>
        </w:tabs>
        <w:spacing w:after="0" w:line="240" w:lineRule="auto"/>
        <w:contextualSpacing/>
        <w:jc w:val="both"/>
        <w:rPr>
          <w:rFonts w:eastAsia="Calibri"/>
          <w:b/>
          <w:szCs w:val="20"/>
          <w:lang w:val="es-PY"/>
        </w:rPr>
      </w:pPr>
      <w:r w:rsidRPr="00057271">
        <w:rPr>
          <w:rFonts w:eastAsia="Calibri"/>
          <w:b/>
          <w:szCs w:val="20"/>
          <w:lang w:val="es-PY"/>
        </w:rPr>
        <w:t>Estrategia Escuela Saludable.</w:t>
      </w:r>
    </w:p>
    <w:p w14:paraId="31A85EB9" w14:textId="77777777" w:rsidR="00374E4B" w:rsidRPr="00057271" w:rsidRDefault="00374E4B" w:rsidP="000D7013">
      <w:pPr>
        <w:numPr>
          <w:ilvl w:val="0"/>
          <w:numId w:val="15"/>
        </w:numPr>
        <w:tabs>
          <w:tab w:val="left" w:pos="142"/>
        </w:tabs>
        <w:spacing w:after="0" w:line="240" w:lineRule="auto"/>
        <w:ind w:left="0" w:firstLine="0"/>
        <w:contextualSpacing/>
        <w:jc w:val="both"/>
        <w:rPr>
          <w:rFonts w:eastAsia="Calibri"/>
          <w:szCs w:val="20"/>
          <w:lang w:val="es-PY"/>
        </w:rPr>
      </w:pPr>
      <w:r w:rsidRPr="00057271">
        <w:rPr>
          <w:rFonts w:eastAsia="Calibri"/>
          <w:szCs w:val="20"/>
          <w:lang w:val="es-PY"/>
        </w:rPr>
        <w:t>1445 instituciones educativas se encuentran implementando la estrategia Escuela Saludable, de las cuales, 266 son instituciones educativas que iniciaron el proceso este año.</w:t>
      </w:r>
    </w:p>
    <w:p w14:paraId="23469F33" w14:textId="66FCE499" w:rsidR="00374E4B" w:rsidRPr="00057271" w:rsidRDefault="00374E4B" w:rsidP="000D7013">
      <w:pPr>
        <w:numPr>
          <w:ilvl w:val="0"/>
          <w:numId w:val="15"/>
        </w:numPr>
        <w:tabs>
          <w:tab w:val="left" w:pos="142"/>
        </w:tabs>
        <w:spacing w:after="0" w:line="240" w:lineRule="auto"/>
        <w:ind w:left="0" w:firstLine="0"/>
        <w:contextualSpacing/>
        <w:jc w:val="both"/>
        <w:rPr>
          <w:rFonts w:eastAsia="Calibri"/>
          <w:szCs w:val="20"/>
          <w:lang w:val="es-PY"/>
        </w:rPr>
      </w:pPr>
      <w:r w:rsidRPr="00057271">
        <w:rPr>
          <w:rFonts w:eastAsia="Calibri"/>
          <w:szCs w:val="20"/>
          <w:lang w:val="es-PY"/>
        </w:rPr>
        <w:t xml:space="preserve">Convenio Específico </w:t>
      </w:r>
      <w:r w:rsidR="00FC22A8" w:rsidRPr="00057271">
        <w:rPr>
          <w:rFonts w:eastAsia="Calibri"/>
          <w:szCs w:val="20"/>
          <w:lang w:val="es-PY"/>
        </w:rPr>
        <w:t>N.º</w:t>
      </w:r>
      <w:r w:rsidRPr="00057271">
        <w:rPr>
          <w:rFonts w:eastAsia="Calibri"/>
          <w:szCs w:val="20"/>
          <w:lang w:val="es-PY"/>
        </w:rPr>
        <w:t xml:space="preserve"> 2 de Cooperación Interinstitucional entre el Ministerio de Salud y el Misterio de Educación y Ciencias para implementar la estrategia Escuela Saludable.</w:t>
      </w:r>
    </w:p>
    <w:p w14:paraId="67561FA6" w14:textId="77777777" w:rsidR="00374E4B" w:rsidRPr="00057271" w:rsidRDefault="00374E4B" w:rsidP="000D7013">
      <w:pPr>
        <w:numPr>
          <w:ilvl w:val="0"/>
          <w:numId w:val="15"/>
        </w:numPr>
        <w:tabs>
          <w:tab w:val="left" w:pos="567"/>
        </w:tabs>
        <w:spacing w:after="0" w:line="240" w:lineRule="auto"/>
        <w:ind w:left="142" w:hanging="142"/>
        <w:contextualSpacing/>
        <w:jc w:val="both"/>
        <w:rPr>
          <w:rFonts w:eastAsia="Calibri"/>
          <w:szCs w:val="20"/>
          <w:lang w:val="es-PY"/>
        </w:rPr>
      </w:pPr>
      <w:r w:rsidRPr="00057271">
        <w:rPr>
          <w:rFonts w:eastAsia="Calibri"/>
          <w:szCs w:val="20"/>
          <w:lang w:val="es-PY"/>
        </w:rPr>
        <w:t>Acreditación como Escuelas Saludables a 28 instituciones educativas de Central, Alto Paraná y Capital.</w:t>
      </w:r>
    </w:p>
    <w:p w14:paraId="6E08FF04" w14:textId="77777777" w:rsidR="00374E4B" w:rsidRPr="00057271" w:rsidRDefault="00374E4B" w:rsidP="00374E4B">
      <w:pPr>
        <w:tabs>
          <w:tab w:val="left" w:pos="567"/>
        </w:tabs>
        <w:spacing w:after="0" w:line="240" w:lineRule="auto"/>
        <w:contextualSpacing/>
        <w:jc w:val="both"/>
        <w:rPr>
          <w:rFonts w:eastAsia="Calibri"/>
          <w:b/>
          <w:szCs w:val="20"/>
          <w:lang w:val="es-PY"/>
        </w:rPr>
      </w:pPr>
      <w:r w:rsidRPr="00057271">
        <w:rPr>
          <w:rFonts w:eastAsia="Calibri"/>
          <w:b/>
          <w:szCs w:val="20"/>
          <w:lang w:val="es-PY"/>
        </w:rPr>
        <w:t>Estrategia Centro Laboral Saludable</w:t>
      </w:r>
    </w:p>
    <w:p w14:paraId="6A2C22E1" w14:textId="77777777" w:rsidR="00374E4B" w:rsidRPr="00057271" w:rsidRDefault="00374E4B" w:rsidP="000D7013">
      <w:pPr>
        <w:numPr>
          <w:ilvl w:val="0"/>
          <w:numId w:val="16"/>
        </w:numPr>
        <w:tabs>
          <w:tab w:val="left" w:pos="567"/>
        </w:tabs>
        <w:spacing w:after="0" w:line="240" w:lineRule="auto"/>
        <w:ind w:left="142" w:hanging="142"/>
        <w:contextualSpacing/>
        <w:jc w:val="both"/>
        <w:rPr>
          <w:rFonts w:eastAsia="Calibri"/>
          <w:szCs w:val="20"/>
          <w:lang w:val="es-PY"/>
        </w:rPr>
      </w:pPr>
      <w:r w:rsidRPr="00057271">
        <w:rPr>
          <w:rFonts w:eastAsia="Calibri"/>
          <w:szCs w:val="20"/>
          <w:lang w:val="es-PY"/>
        </w:rPr>
        <w:t>Socialización y sensibilización en la Estrategia Centro Laboral Saludable en centros laborales a nivel país, llegando a 59 empresas.</w:t>
      </w:r>
    </w:p>
    <w:p w14:paraId="3A42F744" w14:textId="77777777" w:rsidR="00374E4B" w:rsidRPr="00057271" w:rsidRDefault="00374E4B" w:rsidP="000D7013">
      <w:pPr>
        <w:numPr>
          <w:ilvl w:val="0"/>
          <w:numId w:val="16"/>
        </w:numPr>
        <w:tabs>
          <w:tab w:val="left" w:pos="142"/>
        </w:tabs>
        <w:spacing w:after="0" w:line="240" w:lineRule="auto"/>
        <w:ind w:left="0" w:firstLine="0"/>
        <w:contextualSpacing/>
        <w:jc w:val="both"/>
        <w:rPr>
          <w:rFonts w:eastAsia="Calibri"/>
          <w:szCs w:val="20"/>
          <w:lang w:val="es-PY"/>
        </w:rPr>
      </w:pPr>
      <w:r w:rsidRPr="00057271">
        <w:rPr>
          <w:rFonts w:eastAsia="Calibri"/>
          <w:szCs w:val="20"/>
          <w:lang w:val="es-PY"/>
        </w:rPr>
        <w:t>Implementación de la estrategia en 9 centros laborales, en diferentes etapas: FAPASA, Hospedaje Jasy Roga, Santa Clara S.A., Cooperativa Multiactiva de Ahorro y Crédito, Consumo y Servicios, Cargill Agropecuaria SACI, Fujikura Automotive Paraguay S.A., AGB Constructora S.A., PROSEGUR y Gobernación de Paraguarí.</w:t>
      </w:r>
    </w:p>
    <w:p w14:paraId="3614CA43" w14:textId="77777777" w:rsidR="00374E4B" w:rsidRPr="00057271" w:rsidRDefault="00374E4B" w:rsidP="00374E4B">
      <w:pPr>
        <w:tabs>
          <w:tab w:val="left" w:pos="567"/>
        </w:tabs>
        <w:spacing w:after="0" w:line="240" w:lineRule="auto"/>
        <w:jc w:val="both"/>
        <w:rPr>
          <w:rFonts w:eastAsia="Calibri"/>
          <w:b/>
          <w:szCs w:val="20"/>
          <w:lang w:val="es-PY"/>
        </w:rPr>
      </w:pPr>
      <w:r w:rsidRPr="00057271">
        <w:rPr>
          <w:rFonts w:eastAsia="Calibri"/>
          <w:b/>
          <w:szCs w:val="20"/>
          <w:lang w:val="es-PY"/>
        </w:rPr>
        <w:t>Desarrollo de competencias en Promoción de la Salud en los recursos humanos</w:t>
      </w:r>
    </w:p>
    <w:p w14:paraId="56A04F05" w14:textId="77777777" w:rsidR="00374E4B" w:rsidRPr="00057271" w:rsidRDefault="00374E4B" w:rsidP="000D7013">
      <w:pPr>
        <w:numPr>
          <w:ilvl w:val="0"/>
          <w:numId w:val="17"/>
        </w:numPr>
        <w:tabs>
          <w:tab w:val="left" w:pos="567"/>
        </w:tabs>
        <w:spacing w:after="0" w:line="240" w:lineRule="auto"/>
        <w:ind w:left="142" w:hanging="142"/>
        <w:contextualSpacing/>
        <w:jc w:val="both"/>
        <w:rPr>
          <w:rFonts w:eastAsia="Calibri"/>
          <w:szCs w:val="20"/>
          <w:lang w:val="es-PY"/>
        </w:rPr>
      </w:pPr>
      <w:r w:rsidRPr="00057271">
        <w:rPr>
          <w:rFonts w:eastAsia="Calibri"/>
          <w:szCs w:val="20"/>
          <w:lang w:val="es-PY"/>
        </w:rPr>
        <w:t>4701 personas (público interno y externo) capacitadas en la estrategia familia saludable.</w:t>
      </w:r>
    </w:p>
    <w:p w14:paraId="5F04551F" w14:textId="77777777" w:rsidR="00374E4B" w:rsidRPr="00057271" w:rsidRDefault="00374E4B" w:rsidP="000D7013">
      <w:pPr>
        <w:numPr>
          <w:ilvl w:val="0"/>
          <w:numId w:val="17"/>
        </w:numPr>
        <w:tabs>
          <w:tab w:val="left" w:pos="142"/>
        </w:tabs>
        <w:spacing w:after="0" w:line="240" w:lineRule="auto"/>
        <w:ind w:left="142" w:hanging="142"/>
        <w:contextualSpacing/>
        <w:jc w:val="both"/>
        <w:rPr>
          <w:rFonts w:eastAsia="Calibri"/>
          <w:szCs w:val="20"/>
          <w:lang w:val="es-PY"/>
        </w:rPr>
      </w:pPr>
      <w:r w:rsidRPr="00057271">
        <w:rPr>
          <w:rFonts w:eastAsia="Calibri"/>
          <w:szCs w:val="20"/>
          <w:lang w:val="es-PY"/>
        </w:rPr>
        <w:t>20 referentes de Promoción de la Salud de la XI Región Sanitaria – Central, capacitados en Promoción de la Salud.</w:t>
      </w:r>
    </w:p>
    <w:p w14:paraId="44426C17" w14:textId="7DC63BED" w:rsidR="00374E4B" w:rsidRDefault="00374E4B" w:rsidP="000D7013">
      <w:pPr>
        <w:numPr>
          <w:ilvl w:val="0"/>
          <w:numId w:val="17"/>
        </w:numPr>
        <w:tabs>
          <w:tab w:val="left" w:pos="567"/>
        </w:tabs>
        <w:spacing w:after="0" w:line="240" w:lineRule="auto"/>
        <w:ind w:left="142" w:hanging="142"/>
        <w:contextualSpacing/>
        <w:jc w:val="both"/>
        <w:rPr>
          <w:rFonts w:eastAsia="Calibri"/>
          <w:szCs w:val="20"/>
          <w:lang w:val="es-PY"/>
        </w:rPr>
      </w:pPr>
      <w:r w:rsidRPr="00057271">
        <w:rPr>
          <w:rFonts w:eastAsia="Calibri"/>
          <w:szCs w:val="20"/>
          <w:lang w:val="es-PY"/>
        </w:rPr>
        <w:t xml:space="preserve">1 </w:t>
      </w:r>
      <w:r w:rsidR="00786519" w:rsidRPr="00057271">
        <w:rPr>
          <w:rFonts w:eastAsia="Calibri"/>
          <w:szCs w:val="20"/>
          <w:lang w:val="es-PY"/>
        </w:rPr>
        <w:t>curso</w:t>
      </w:r>
      <w:r w:rsidRPr="00057271">
        <w:rPr>
          <w:rFonts w:eastAsia="Calibri"/>
          <w:szCs w:val="20"/>
          <w:lang w:val="es-PY"/>
        </w:rPr>
        <w:t xml:space="preserve"> de Promoción de Salud diseñado en la plataforma de OPS/OMS.</w:t>
      </w:r>
    </w:p>
    <w:p w14:paraId="104D61CC" w14:textId="77777777" w:rsidR="00374E4B" w:rsidRPr="00786519" w:rsidRDefault="00374E4B" w:rsidP="00786519">
      <w:pPr>
        <w:spacing w:before="120" w:after="0" w:line="240" w:lineRule="auto"/>
        <w:jc w:val="both"/>
        <w:rPr>
          <w:b/>
          <w:bCs/>
          <w:szCs w:val="20"/>
          <w:lang w:eastAsia="es-ES"/>
        </w:rPr>
      </w:pPr>
      <w:r w:rsidRPr="00786519">
        <w:rPr>
          <w:b/>
          <w:bCs/>
          <w:szCs w:val="20"/>
          <w:lang w:eastAsia="es-ES"/>
        </w:rPr>
        <w:t>DIRECCIÓN GENERAL DE SALUD AMBIENTAL – DIGESA</w:t>
      </w:r>
    </w:p>
    <w:p w14:paraId="03AD8C8E" w14:textId="77777777" w:rsidR="00374E4B" w:rsidRPr="00786519" w:rsidRDefault="00374E4B" w:rsidP="00374E4B">
      <w:pPr>
        <w:pStyle w:val="Prrafodelista"/>
        <w:shd w:val="clear" w:color="auto" w:fill="D9D9D9" w:themeFill="background1" w:themeFillShade="D9"/>
        <w:spacing w:before="240" w:after="0" w:line="240" w:lineRule="auto"/>
        <w:ind w:left="0"/>
        <w:jc w:val="both"/>
        <w:rPr>
          <w:rFonts w:ascii="Times New Roman" w:eastAsiaTheme="minorHAnsi" w:hAnsi="Times New Roman"/>
          <w:b/>
          <w:bCs/>
          <w:szCs w:val="20"/>
          <w:lang w:eastAsia="es-ES"/>
        </w:rPr>
      </w:pPr>
      <w:r w:rsidRPr="00786519">
        <w:rPr>
          <w:rFonts w:ascii="Times New Roman" w:eastAsiaTheme="minorHAnsi" w:hAnsi="Times New Roman"/>
          <w:b/>
          <w:bCs/>
          <w:szCs w:val="20"/>
          <w:lang w:eastAsia="es-ES"/>
        </w:rPr>
        <w:t>Capacitación sobre Manejo de Residuos Hospitalarios.</w:t>
      </w:r>
    </w:p>
    <w:p w14:paraId="33F5D4F7" w14:textId="77777777" w:rsidR="00374E4B" w:rsidRPr="00DB430F" w:rsidRDefault="00374E4B" w:rsidP="00374E4B">
      <w:pPr>
        <w:spacing w:line="240" w:lineRule="auto"/>
        <w:jc w:val="both"/>
        <w:rPr>
          <w:szCs w:val="20"/>
        </w:rPr>
      </w:pPr>
      <w:r w:rsidRPr="00DB430F">
        <w:rPr>
          <w:szCs w:val="20"/>
        </w:rPr>
        <w:t>Considerando la importancia del conocimiento adecuado sobre la gestión de residuos dentro del sistema de salud, durante el año 2025 se incorporaron acciones orientadas a ampliar la participación de los recursos humanos, con el objetivo de transmitir los procesos técnicos y las habilidades necesarias para gestionar de manera segura, eficiente y conforme a la normativa vigente los residuos generados en los establecimientos de salud, minimizando los riesgos para la salud humana y el medio ambiente.</w:t>
      </w:r>
    </w:p>
    <w:p w14:paraId="78F7D61A" w14:textId="77777777" w:rsidR="00374E4B" w:rsidRDefault="00374E4B" w:rsidP="00374E4B">
      <w:pPr>
        <w:spacing w:line="240" w:lineRule="auto"/>
        <w:jc w:val="both"/>
        <w:rPr>
          <w:szCs w:val="20"/>
        </w:rPr>
      </w:pPr>
      <w:r w:rsidRPr="00DB430F">
        <w:rPr>
          <w:szCs w:val="20"/>
        </w:rPr>
        <w:t>Las acciones implementadas incluyeron un plan de capacitación presencial en cada Región Sanitaria, organizado y coordinado por las mismas; el seguimiento de capacitaciones en modalidad virtual a través de la Plataforma del Instituto Nacional de Salud (INS); y la incorporación de capacitaciones en modalidad híbrida desarrolladas en las instalaciones de la DIGESA.</w:t>
      </w:r>
    </w:p>
    <w:p w14:paraId="27C3113A" w14:textId="77777777" w:rsidR="00BE2300" w:rsidRDefault="00BE2300" w:rsidP="00374E4B">
      <w:pPr>
        <w:spacing w:line="240" w:lineRule="auto"/>
        <w:jc w:val="both"/>
        <w:rPr>
          <w:szCs w:val="20"/>
        </w:rPr>
      </w:pPr>
    </w:p>
    <w:p w14:paraId="0CD8927A" w14:textId="77777777" w:rsidR="00BE2300" w:rsidRDefault="00BE2300" w:rsidP="00374E4B">
      <w:pPr>
        <w:spacing w:line="240" w:lineRule="auto"/>
        <w:jc w:val="both"/>
        <w:rPr>
          <w:szCs w:val="20"/>
        </w:rPr>
      </w:pPr>
    </w:p>
    <w:p w14:paraId="79A81C11" w14:textId="77777777" w:rsidR="00BE2300" w:rsidRDefault="00BE2300" w:rsidP="00374E4B">
      <w:pPr>
        <w:spacing w:line="240" w:lineRule="auto"/>
        <w:jc w:val="both"/>
        <w:rPr>
          <w:szCs w:val="20"/>
        </w:rPr>
      </w:pPr>
    </w:p>
    <w:p w14:paraId="45E25F96" w14:textId="77777777" w:rsidR="00BE2300" w:rsidRDefault="00BE2300" w:rsidP="00374E4B">
      <w:pPr>
        <w:spacing w:line="240" w:lineRule="auto"/>
        <w:jc w:val="both"/>
        <w:rPr>
          <w:szCs w:val="20"/>
        </w:rPr>
      </w:pPr>
    </w:p>
    <w:p w14:paraId="159A05CE" w14:textId="77777777" w:rsidR="00BE2300" w:rsidRPr="00DB430F" w:rsidRDefault="00BE2300" w:rsidP="00374E4B">
      <w:pPr>
        <w:spacing w:line="240" w:lineRule="auto"/>
        <w:jc w:val="both"/>
        <w:rPr>
          <w:szCs w:val="20"/>
        </w:rPr>
      </w:pPr>
    </w:p>
    <w:p w14:paraId="56DDA37F" w14:textId="77777777" w:rsidR="00374E4B" w:rsidRPr="00DB430F" w:rsidRDefault="00374E4B" w:rsidP="00374E4B">
      <w:pPr>
        <w:spacing w:after="0" w:line="240" w:lineRule="auto"/>
        <w:jc w:val="both"/>
        <w:rPr>
          <w:szCs w:val="20"/>
        </w:rPr>
      </w:pPr>
      <w:r w:rsidRPr="00DB430F">
        <w:rPr>
          <w:szCs w:val="20"/>
        </w:rPr>
        <w:t xml:space="preserve">La meta establecida para el año fiscal 2025 fue la capacitación de 700 personas. No obstante, gracias a la estrategia implementada, se logró capacitar a </w:t>
      </w:r>
      <w:r w:rsidRPr="00DB430F">
        <w:rPr>
          <w:b/>
          <w:bCs/>
          <w:szCs w:val="20"/>
        </w:rPr>
        <w:t>1.417 personas</w:t>
      </w:r>
      <w:r w:rsidRPr="00DB430F">
        <w:rPr>
          <w:szCs w:val="20"/>
        </w:rPr>
        <w:t>, superando ampliamente la meta prevista.</w:t>
      </w:r>
    </w:p>
    <w:p w14:paraId="0FD62950" w14:textId="77777777" w:rsidR="00374E4B" w:rsidRPr="00FC22A8" w:rsidRDefault="00374E4B" w:rsidP="00374E4B">
      <w:pPr>
        <w:pStyle w:val="Prrafodelista"/>
        <w:shd w:val="clear" w:color="auto" w:fill="D9D9D9" w:themeFill="background1" w:themeFillShade="D9"/>
        <w:spacing w:after="0" w:line="240" w:lineRule="auto"/>
        <w:ind w:left="0"/>
        <w:jc w:val="both"/>
        <w:rPr>
          <w:rFonts w:ascii="Times New Roman" w:eastAsia="Garamond" w:hAnsi="Times New Roman"/>
          <w:b/>
          <w:bCs/>
          <w:szCs w:val="20"/>
        </w:rPr>
      </w:pPr>
      <w:r w:rsidRPr="00DB430F">
        <w:rPr>
          <w:rFonts w:ascii="Times New Roman" w:eastAsia="Garamond" w:hAnsi="Times New Roman"/>
          <w:b/>
          <w:bCs/>
          <w:szCs w:val="20"/>
        </w:rPr>
        <w:t>Registro de Generadores de Residuos Hospitalarios</w:t>
      </w:r>
    </w:p>
    <w:p w14:paraId="25FBA44D" w14:textId="77777777" w:rsidR="00374E4B" w:rsidRPr="00DB430F" w:rsidRDefault="00374E4B" w:rsidP="00374E4B">
      <w:pPr>
        <w:spacing w:after="0" w:line="240" w:lineRule="auto"/>
        <w:jc w:val="both"/>
        <w:rPr>
          <w:szCs w:val="20"/>
        </w:rPr>
      </w:pPr>
      <w:r w:rsidRPr="00DB430F">
        <w:rPr>
          <w:szCs w:val="20"/>
        </w:rPr>
        <w:t>En cumplimiento de la Ley N° 3.361/2007 “De los Residuos Generados en Establecimientos de Salud y Afines” y su reglamentación mediante el Decreto N° 6.538/2011, se impulsó el proceso de inscripción y registro de los Establecimientos de Salud y Afines como Generadores de Residuos Hospitalarios.</w:t>
      </w:r>
    </w:p>
    <w:p w14:paraId="41DAE754" w14:textId="77777777" w:rsidR="00374E4B" w:rsidRPr="00DB430F" w:rsidRDefault="00374E4B" w:rsidP="00374E4B">
      <w:pPr>
        <w:spacing w:after="0" w:line="240" w:lineRule="auto"/>
        <w:jc w:val="both"/>
        <w:rPr>
          <w:szCs w:val="20"/>
        </w:rPr>
      </w:pPr>
      <w:r w:rsidRPr="00DB430F">
        <w:rPr>
          <w:szCs w:val="20"/>
        </w:rPr>
        <w:t>Estas acciones no solo permiten fortalecer los mecanismos de control de la gestión de residuos, sino también promover la incorporación de una cultura institucional de clasificación adecuada de los residuos bioinfecciosos y de riesgo biológico.</w:t>
      </w:r>
    </w:p>
    <w:p w14:paraId="05E954B1" w14:textId="77777777" w:rsidR="00374E4B" w:rsidRPr="00DB430F" w:rsidRDefault="00374E4B" w:rsidP="00374E4B">
      <w:pPr>
        <w:spacing w:after="0" w:line="240" w:lineRule="auto"/>
        <w:jc w:val="both"/>
        <w:rPr>
          <w:szCs w:val="20"/>
        </w:rPr>
      </w:pPr>
      <w:r w:rsidRPr="00DB430F">
        <w:rPr>
          <w:szCs w:val="20"/>
        </w:rPr>
        <w:t xml:space="preserve">Para el año fiscal 2025 se estableció como meta la emisión de 180 registros. Mediante las acciones y mecanismos implementados, se logró el registro de </w:t>
      </w:r>
      <w:r w:rsidRPr="00DB430F">
        <w:rPr>
          <w:b/>
          <w:bCs/>
          <w:szCs w:val="20"/>
        </w:rPr>
        <w:t>413 establecimientos de salud</w:t>
      </w:r>
      <w:r w:rsidRPr="00DB430F">
        <w:rPr>
          <w:szCs w:val="20"/>
        </w:rPr>
        <w:t>, superando significativamente la meta prevista.</w:t>
      </w:r>
    </w:p>
    <w:p w14:paraId="6362AF3D" w14:textId="77777777" w:rsidR="00374E4B" w:rsidRPr="00DB430F" w:rsidRDefault="00374E4B" w:rsidP="00374E4B">
      <w:pPr>
        <w:spacing w:after="0" w:line="240" w:lineRule="auto"/>
        <w:jc w:val="both"/>
        <w:rPr>
          <w:szCs w:val="20"/>
        </w:rPr>
      </w:pPr>
      <w:r w:rsidRPr="00DB430F">
        <w:rPr>
          <w:rFonts w:eastAsia="Garamond"/>
          <w:b/>
          <w:bCs/>
          <w:szCs w:val="20"/>
        </w:rPr>
        <w:t>Fortalecimiento del marco institucional en Higiene y Salud Ocupacional</w:t>
      </w:r>
    </w:p>
    <w:p w14:paraId="5BE9A60D" w14:textId="77777777" w:rsidR="00374E4B" w:rsidRPr="00DB430F" w:rsidRDefault="00374E4B" w:rsidP="00374E4B">
      <w:pPr>
        <w:spacing w:after="0" w:line="240" w:lineRule="auto"/>
        <w:jc w:val="both"/>
        <w:rPr>
          <w:szCs w:val="20"/>
        </w:rPr>
      </w:pPr>
      <w:r w:rsidRPr="00DB430F">
        <w:rPr>
          <w:szCs w:val="20"/>
        </w:rPr>
        <w:t>Durante el año 2025 se logró la reglamentación formal de la competencia de la DIGESA en materia de Higiene y Salud Ocupacional dentro del Ministerio de Salud Pública y Bienestar Social, mediante la Resolución S.G. N° 920/2025, de fecha 17 de diciembre de 2025, que designa oficialmente a la DIGESA como dependencia técnica responsable en esta área.</w:t>
      </w:r>
    </w:p>
    <w:p w14:paraId="2D943A55" w14:textId="77777777" w:rsidR="00374E4B" w:rsidRDefault="00374E4B" w:rsidP="00374E4B">
      <w:pPr>
        <w:spacing w:after="0" w:line="240" w:lineRule="auto"/>
        <w:jc w:val="both"/>
        <w:rPr>
          <w:szCs w:val="20"/>
        </w:rPr>
      </w:pPr>
      <w:r w:rsidRPr="00DB430F">
        <w:rPr>
          <w:szCs w:val="20"/>
        </w:rPr>
        <w:t>Este logro fortalece la rectoría institucional, clarifica las atribuciones técnicas y consolida el rol de la DIGESA en la protección de la salud de los trabajadores y de la población en general.</w:t>
      </w:r>
    </w:p>
    <w:p w14:paraId="2A8EA127" w14:textId="77777777" w:rsidR="00374E4B" w:rsidRPr="00DB430F" w:rsidRDefault="00374E4B" w:rsidP="00374E4B">
      <w:pPr>
        <w:spacing w:after="0" w:line="240" w:lineRule="auto"/>
        <w:jc w:val="both"/>
        <w:rPr>
          <w:szCs w:val="20"/>
        </w:rPr>
      </w:pPr>
      <w:r w:rsidRPr="00DB430F">
        <w:rPr>
          <w:rFonts w:eastAsia="Garamond"/>
          <w:b/>
          <w:bCs/>
          <w:szCs w:val="20"/>
        </w:rPr>
        <w:t>Implementación y fortalecimiento del control sanitario en empresas de Control de Plagas Urbanas</w:t>
      </w:r>
    </w:p>
    <w:p w14:paraId="3CC91994" w14:textId="77777777" w:rsidR="00374E4B" w:rsidRPr="00DB430F" w:rsidRDefault="00374E4B" w:rsidP="00374E4B">
      <w:pPr>
        <w:spacing w:after="0" w:line="240" w:lineRule="auto"/>
        <w:jc w:val="both"/>
        <w:rPr>
          <w:szCs w:val="20"/>
        </w:rPr>
      </w:pPr>
      <w:r w:rsidRPr="00DB430F">
        <w:rPr>
          <w:szCs w:val="20"/>
        </w:rPr>
        <w:t>En el marco de la aplicación de la Resolución S.G. MSP y BS N° 327/2022, por la cual se reglamenta el Art. 109 de la Ley N° 836/80 – Código Sanitario, durante el año 2025 se consolidó el sistema de control, fiscalización y capacitación de las Empresas de Control de Plagas Urbanas (ECP).</w:t>
      </w:r>
    </w:p>
    <w:p w14:paraId="09E71664" w14:textId="77777777" w:rsidR="00374E4B" w:rsidRPr="00DB430F" w:rsidRDefault="00374E4B" w:rsidP="00374E4B">
      <w:pPr>
        <w:spacing w:after="0" w:line="240" w:lineRule="auto"/>
        <w:jc w:val="both"/>
        <w:rPr>
          <w:szCs w:val="20"/>
        </w:rPr>
      </w:pPr>
      <w:r w:rsidRPr="00DB430F">
        <w:rPr>
          <w:szCs w:val="20"/>
        </w:rPr>
        <w:t>Las principales acciones desarrolladas fueron:</w:t>
      </w:r>
    </w:p>
    <w:p w14:paraId="0152A2B8" w14:textId="77777777" w:rsidR="00374E4B" w:rsidRPr="00DB430F" w:rsidRDefault="00374E4B" w:rsidP="000D7013">
      <w:pPr>
        <w:numPr>
          <w:ilvl w:val="0"/>
          <w:numId w:val="18"/>
        </w:numPr>
        <w:tabs>
          <w:tab w:val="clear" w:pos="720"/>
        </w:tabs>
        <w:spacing w:after="0" w:line="240" w:lineRule="auto"/>
        <w:ind w:left="284" w:hanging="284"/>
        <w:jc w:val="both"/>
        <w:rPr>
          <w:szCs w:val="20"/>
        </w:rPr>
      </w:pPr>
      <w:r w:rsidRPr="00DB430F">
        <w:rPr>
          <w:szCs w:val="20"/>
        </w:rPr>
        <w:t>169 inspecciones a ECP para su habilitación en diferentes departamentos del país.</w:t>
      </w:r>
    </w:p>
    <w:p w14:paraId="5A391CA6" w14:textId="77777777" w:rsidR="00374E4B" w:rsidRPr="00DB430F" w:rsidRDefault="00374E4B" w:rsidP="000D7013">
      <w:pPr>
        <w:numPr>
          <w:ilvl w:val="0"/>
          <w:numId w:val="18"/>
        </w:numPr>
        <w:tabs>
          <w:tab w:val="clear" w:pos="720"/>
          <w:tab w:val="num" w:pos="284"/>
        </w:tabs>
        <w:spacing w:after="0" w:line="240" w:lineRule="auto"/>
        <w:ind w:hanging="720"/>
        <w:jc w:val="both"/>
        <w:rPr>
          <w:szCs w:val="20"/>
        </w:rPr>
      </w:pPr>
      <w:r w:rsidRPr="00DB430F">
        <w:rPr>
          <w:szCs w:val="20"/>
        </w:rPr>
        <w:t>135 habilitaciones de ECP emitidas tras evaluación técnica.</w:t>
      </w:r>
    </w:p>
    <w:p w14:paraId="5C0CE1CC" w14:textId="77777777" w:rsidR="00374E4B" w:rsidRPr="00DB430F" w:rsidRDefault="00374E4B" w:rsidP="000D7013">
      <w:pPr>
        <w:numPr>
          <w:ilvl w:val="0"/>
          <w:numId w:val="18"/>
        </w:numPr>
        <w:tabs>
          <w:tab w:val="clear" w:pos="720"/>
          <w:tab w:val="num" w:pos="284"/>
        </w:tabs>
        <w:spacing w:after="0" w:line="240" w:lineRule="auto"/>
        <w:ind w:hanging="720"/>
        <w:jc w:val="both"/>
        <w:rPr>
          <w:szCs w:val="20"/>
        </w:rPr>
      </w:pPr>
      <w:r w:rsidRPr="00DB430F">
        <w:rPr>
          <w:szCs w:val="20"/>
        </w:rPr>
        <w:t>137 habilitaciones de Asesores Técnicos.</w:t>
      </w:r>
    </w:p>
    <w:p w14:paraId="753F3E13" w14:textId="77777777" w:rsidR="00374E4B" w:rsidRPr="00DB430F" w:rsidRDefault="00374E4B" w:rsidP="000D7013">
      <w:pPr>
        <w:numPr>
          <w:ilvl w:val="0"/>
          <w:numId w:val="18"/>
        </w:numPr>
        <w:tabs>
          <w:tab w:val="clear" w:pos="720"/>
          <w:tab w:val="num" w:pos="284"/>
        </w:tabs>
        <w:spacing w:after="0" w:line="240" w:lineRule="auto"/>
        <w:ind w:hanging="720"/>
        <w:jc w:val="both"/>
        <w:rPr>
          <w:szCs w:val="20"/>
        </w:rPr>
      </w:pPr>
      <w:r w:rsidRPr="00DB430F">
        <w:rPr>
          <w:szCs w:val="20"/>
        </w:rPr>
        <w:t>497 carnés de Personal Aplicador emitidos luego de procesos de capacitación y evaluación.</w:t>
      </w:r>
    </w:p>
    <w:p w14:paraId="163D5F7B" w14:textId="77777777" w:rsidR="00374E4B" w:rsidRPr="00DB430F" w:rsidRDefault="00374E4B" w:rsidP="000D7013">
      <w:pPr>
        <w:numPr>
          <w:ilvl w:val="0"/>
          <w:numId w:val="18"/>
        </w:numPr>
        <w:spacing w:after="0" w:line="240" w:lineRule="auto"/>
        <w:ind w:left="284" w:hanging="284"/>
        <w:jc w:val="both"/>
        <w:rPr>
          <w:szCs w:val="20"/>
        </w:rPr>
      </w:pPr>
      <w:r w:rsidRPr="00DB430F">
        <w:rPr>
          <w:szCs w:val="20"/>
        </w:rPr>
        <w:t>26 jornadas de capacitación sobre “Riesgo ocupacional por exposición a plaguicidas”, realizadas en distintas Regiones Sanitarias.</w:t>
      </w:r>
    </w:p>
    <w:p w14:paraId="4B84BFD5" w14:textId="77777777" w:rsidR="00374E4B" w:rsidRDefault="00374E4B" w:rsidP="000D7013">
      <w:pPr>
        <w:numPr>
          <w:ilvl w:val="0"/>
          <w:numId w:val="18"/>
        </w:numPr>
        <w:tabs>
          <w:tab w:val="clear" w:pos="720"/>
          <w:tab w:val="num" w:pos="284"/>
        </w:tabs>
        <w:spacing w:after="0" w:line="240" w:lineRule="auto"/>
        <w:ind w:hanging="720"/>
        <w:jc w:val="both"/>
        <w:rPr>
          <w:szCs w:val="20"/>
        </w:rPr>
      </w:pPr>
      <w:r w:rsidRPr="00DB430F">
        <w:rPr>
          <w:szCs w:val="20"/>
        </w:rPr>
        <w:t>Socialización de la normativa con 2 municipios.</w:t>
      </w:r>
    </w:p>
    <w:p w14:paraId="3EC03987" w14:textId="24A64EFC" w:rsidR="00374E4B" w:rsidRDefault="00BE2300" w:rsidP="00374E4B">
      <w:pPr>
        <w:spacing w:before="240" w:after="0" w:line="240" w:lineRule="auto"/>
        <w:jc w:val="both"/>
        <w:rPr>
          <w:szCs w:val="20"/>
        </w:rPr>
      </w:pPr>
      <w:r>
        <w:rPr>
          <w:szCs w:val="20"/>
        </w:rPr>
        <w:t>E</w:t>
      </w:r>
      <w:r w:rsidR="00374E4B" w:rsidRPr="00DB430F">
        <w:rPr>
          <w:szCs w:val="20"/>
        </w:rPr>
        <w:t>stas acciones fortalecen la prevención de riesgos sanitarios y ambientales asociados al uso de plaguicidas, garantizando prácticas seguras y reguladas.</w:t>
      </w:r>
    </w:p>
    <w:p w14:paraId="6F6BC024" w14:textId="77777777" w:rsidR="00374E4B" w:rsidRPr="00FC22A8" w:rsidRDefault="00374E4B" w:rsidP="00374E4B">
      <w:pPr>
        <w:shd w:val="clear" w:color="auto" w:fill="D9D9D9" w:themeFill="background1" w:themeFillShade="D9"/>
        <w:spacing w:before="240" w:after="0" w:line="240" w:lineRule="auto"/>
        <w:jc w:val="both"/>
        <w:rPr>
          <w:b/>
          <w:bCs/>
          <w:color w:val="000000" w:themeColor="text1"/>
          <w:szCs w:val="20"/>
        </w:rPr>
      </w:pPr>
      <w:r w:rsidRPr="00FC22A8">
        <w:rPr>
          <w:b/>
          <w:bCs/>
          <w:color w:val="000000" w:themeColor="text1"/>
          <w:szCs w:val="20"/>
        </w:rPr>
        <w:t>Fortalecimiento del control sanitario internacional y respuesta institucional intersectorial</w:t>
      </w:r>
    </w:p>
    <w:p w14:paraId="13B70597" w14:textId="77777777" w:rsidR="00374E4B" w:rsidRPr="00DB430F" w:rsidRDefault="00374E4B" w:rsidP="00374E4B">
      <w:pPr>
        <w:spacing w:before="240" w:after="0" w:line="240" w:lineRule="auto"/>
        <w:jc w:val="both"/>
        <w:rPr>
          <w:color w:val="000000" w:themeColor="text1"/>
          <w:szCs w:val="20"/>
        </w:rPr>
      </w:pPr>
      <w:r w:rsidRPr="00DB430F">
        <w:rPr>
          <w:color w:val="000000" w:themeColor="text1"/>
          <w:szCs w:val="20"/>
        </w:rPr>
        <w:t xml:space="preserve">Durante el año 2025, la DIGESA fortaleció el control sanitario en el ámbito del </w:t>
      </w:r>
      <w:r w:rsidRPr="00DB430F">
        <w:rPr>
          <w:b/>
          <w:bCs/>
          <w:color w:val="000000" w:themeColor="text1"/>
          <w:szCs w:val="20"/>
        </w:rPr>
        <w:t>Reglamento Sanitario Internacional</w:t>
      </w:r>
      <w:r w:rsidRPr="00DB430F">
        <w:rPr>
          <w:color w:val="000000" w:themeColor="text1"/>
          <w:szCs w:val="20"/>
        </w:rPr>
        <w:t>, mediante la:</w:t>
      </w:r>
    </w:p>
    <w:p w14:paraId="6F5E2388" w14:textId="77777777" w:rsidR="00374E4B" w:rsidRPr="00083531" w:rsidRDefault="00374E4B" w:rsidP="00374E4B">
      <w:pPr>
        <w:spacing w:after="0" w:line="240" w:lineRule="auto"/>
        <w:jc w:val="both"/>
        <w:rPr>
          <w:color w:val="000000" w:themeColor="text1"/>
          <w:szCs w:val="20"/>
        </w:rPr>
      </w:pPr>
      <w:r w:rsidRPr="00DB430F">
        <w:rPr>
          <w:b/>
          <w:bCs/>
          <w:color w:val="000000" w:themeColor="text1"/>
          <w:szCs w:val="20"/>
        </w:rPr>
        <w:t>Emisión de 5.604 Certificados de Sanidad a Bordo</w:t>
      </w:r>
      <w:r w:rsidRPr="00DB430F">
        <w:rPr>
          <w:color w:val="000000" w:themeColor="text1"/>
          <w:szCs w:val="20"/>
        </w:rPr>
        <w:t xml:space="preserve"> a embarcaciones fluviales, asegurando el cumplimiento de las condiciones sanitarias exigidas.</w:t>
      </w:r>
    </w:p>
    <w:p w14:paraId="098602A9" w14:textId="77777777" w:rsidR="00374E4B" w:rsidRPr="00DB430F" w:rsidRDefault="00374E4B" w:rsidP="00374E4B">
      <w:pPr>
        <w:shd w:val="clear" w:color="auto" w:fill="D9D9D9" w:themeFill="background1" w:themeFillShade="D9"/>
        <w:spacing w:before="240" w:after="0" w:line="240" w:lineRule="auto"/>
        <w:jc w:val="both"/>
        <w:rPr>
          <w:rFonts w:eastAsia="Garamond"/>
          <w:b/>
          <w:bCs/>
          <w:szCs w:val="20"/>
        </w:rPr>
      </w:pPr>
      <w:r w:rsidRPr="00DB430F">
        <w:rPr>
          <w:rFonts w:eastAsia="Garamond"/>
          <w:b/>
          <w:bCs/>
          <w:szCs w:val="20"/>
        </w:rPr>
        <w:t>Fortalecimiento del monitoreo de la calidad del agua en el marco de la salud ambiental</w:t>
      </w:r>
    </w:p>
    <w:p w14:paraId="7520B062" w14:textId="77777777" w:rsidR="00374E4B" w:rsidRDefault="00374E4B" w:rsidP="00374E4B">
      <w:pPr>
        <w:spacing w:after="0" w:line="240" w:lineRule="auto"/>
        <w:jc w:val="both"/>
        <w:rPr>
          <w:rFonts w:eastAsia="Garamond"/>
          <w:szCs w:val="20"/>
        </w:rPr>
      </w:pPr>
      <w:r w:rsidRPr="00DB430F">
        <w:rPr>
          <w:rFonts w:eastAsia="Garamond"/>
          <w:szCs w:val="20"/>
        </w:rPr>
        <w:t>Durante el periodo 2025, la Dirección de Laboratorio fortaleció las acciones de vigilancia y evaluación de la calidad del agua para consumo humano, aguas especiales (aguas para diálisis y otras), aguas recreativas, Enfermedades Transmitidas por Agua y Alimentos (ETAAS) y aguas superficiales como el Lago Ypacaraí y el Río Paraguay, en el marco de la protección de la salud ambiental de la población.</w:t>
      </w:r>
    </w:p>
    <w:p w14:paraId="021B9924" w14:textId="77777777" w:rsidR="00374E4B" w:rsidRDefault="00374E4B" w:rsidP="00374E4B">
      <w:pPr>
        <w:spacing w:after="0" w:line="240" w:lineRule="auto"/>
        <w:jc w:val="both"/>
        <w:rPr>
          <w:rFonts w:eastAsia="Garamond"/>
          <w:szCs w:val="20"/>
        </w:rPr>
      </w:pPr>
      <w:r w:rsidRPr="00DB430F">
        <w:rPr>
          <w:rFonts w:eastAsia="Garamond"/>
          <w:szCs w:val="20"/>
        </w:rPr>
        <w:t xml:space="preserve">En este contexto, se estableció una meta anual de </w:t>
      </w:r>
      <w:r w:rsidRPr="00DB430F">
        <w:rPr>
          <w:rFonts w:eastAsia="Garamond"/>
          <w:b/>
          <w:bCs/>
          <w:szCs w:val="20"/>
        </w:rPr>
        <w:t>8.000 parámetros de agua</w:t>
      </w:r>
      <w:r w:rsidRPr="00DB430F">
        <w:rPr>
          <w:rFonts w:eastAsia="Garamond"/>
          <w:szCs w:val="20"/>
        </w:rPr>
        <w:t xml:space="preserve">, alcanzándose la evaluación de </w:t>
      </w:r>
      <w:r w:rsidRPr="00DB430F">
        <w:rPr>
          <w:rFonts w:eastAsia="Garamond"/>
          <w:b/>
          <w:bCs/>
          <w:szCs w:val="20"/>
        </w:rPr>
        <w:t>7.000 parámetros analizados</w:t>
      </w:r>
      <w:r w:rsidRPr="00DB430F">
        <w:rPr>
          <w:rFonts w:eastAsia="Garamond"/>
          <w:szCs w:val="20"/>
        </w:rPr>
        <w:t xml:space="preserve">, lo que representa un </w:t>
      </w:r>
      <w:r w:rsidRPr="00DB430F">
        <w:rPr>
          <w:rFonts w:eastAsia="Garamond"/>
          <w:b/>
          <w:bCs/>
          <w:szCs w:val="20"/>
        </w:rPr>
        <w:t>88 % de cumplimiento</w:t>
      </w:r>
      <w:r w:rsidRPr="00DB430F">
        <w:rPr>
          <w:rFonts w:eastAsia="Garamond"/>
          <w:szCs w:val="20"/>
        </w:rPr>
        <w:t xml:space="preserve"> de la meta prevista para el año 2025.</w:t>
      </w:r>
    </w:p>
    <w:p w14:paraId="3DAB8905" w14:textId="77777777" w:rsidR="00BE2300" w:rsidRDefault="00BE2300" w:rsidP="00374E4B">
      <w:pPr>
        <w:spacing w:after="0" w:line="240" w:lineRule="auto"/>
        <w:jc w:val="both"/>
        <w:rPr>
          <w:rFonts w:eastAsia="Garamond"/>
          <w:szCs w:val="20"/>
        </w:rPr>
      </w:pPr>
    </w:p>
    <w:p w14:paraId="3A106B2C" w14:textId="77777777" w:rsidR="00BE2300" w:rsidRDefault="00BE2300" w:rsidP="00374E4B">
      <w:pPr>
        <w:spacing w:after="0" w:line="240" w:lineRule="auto"/>
        <w:jc w:val="both"/>
        <w:rPr>
          <w:rFonts w:eastAsia="Garamond"/>
          <w:szCs w:val="20"/>
        </w:rPr>
      </w:pPr>
    </w:p>
    <w:p w14:paraId="77CE9F2A" w14:textId="77777777" w:rsidR="00374E4B" w:rsidRDefault="00374E4B" w:rsidP="00374E4B">
      <w:pPr>
        <w:spacing w:after="0" w:line="240" w:lineRule="auto"/>
        <w:jc w:val="both"/>
        <w:rPr>
          <w:rFonts w:eastAsia="Garamond"/>
          <w:szCs w:val="20"/>
        </w:rPr>
      </w:pPr>
    </w:p>
    <w:p w14:paraId="4CBD0B17" w14:textId="36B68434" w:rsidR="00374E4B" w:rsidRPr="005F3A00" w:rsidRDefault="00374E4B" w:rsidP="00786519">
      <w:pPr>
        <w:spacing w:after="0" w:line="240" w:lineRule="auto"/>
        <w:jc w:val="both"/>
        <w:rPr>
          <w:rFonts w:eastAsia="Garamond"/>
          <w:b/>
          <w:bCs/>
          <w:szCs w:val="20"/>
        </w:rPr>
      </w:pPr>
      <w:r w:rsidRPr="005F3A00">
        <w:rPr>
          <w:rFonts w:eastAsia="Garamond"/>
          <w:b/>
          <w:bCs/>
          <w:szCs w:val="20"/>
        </w:rPr>
        <w:t>DIRECCIÓN GENERAL DE GESTIÓN DE INSUMOS ESTRATÉGICOS EN SALUD</w:t>
      </w:r>
    </w:p>
    <w:p w14:paraId="0B5F5371" w14:textId="77777777" w:rsidR="00374E4B" w:rsidRPr="00786519" w:rsidRDefault="00374E4B" w:rsidP="00786519">
      <w:pPr>
        <w:tabs>
          <w:tab w:val="left" w:pos="567"/>
        </w:tabs>
        <w:spacing w:after="0" w:line="240" w:lineRule="auto"/>
        <w:jc w:val="both"/>
        <w:rPr>
          <w:rFonts w:eastAsia="Garamond"/>
          <w:sz w:val="10"/>
          <w:szCs w:val="10"/>
        </w:rPr>
      </w:pPr>
    </w:p>
    <w:p w14:paraId="6310C09C" w14:textId="77777777" w:rsidR="00374E4B" w:rsidRPr="005F3A00" w:rsidRDefault="00374E4B" w:rsidP="00786519">
      <w:pPr>
        <w:tabs>
          <w:tab w:val="left" w:pos="567"/>
        </w:tabs>
        <w:spacing w:after="0" w:line="240" w:lineRule="auto"/>
        <w:jc w:val="both"/>
        <w:rPr>
          <w:rFonts w:eastAsia="Garamond"/>
          <w:szCs w:val="20"/>
        </w:rPr>
      </w:pPr>
      <w:r w:rsidRPr="005F3A00">
        <w:rPr>
          <w:rFonts w:eastAsia="Garamond"/>
          <w:szCs w:val="20"/>
        </w:rPr>
        <w:t>Habilitación por la DINAVISA de los parques sanitarios Mariano Roque Alonso I, II y III.</w:t>
      </w:r>
    </w:p>
    <w:p w14:paraId="14BA011C" w14:textId="77777777" w:rsidR="00374E4B" w:rsidRPr="005F3A00" w:rsidRDefault="00374E4B" w:rsidP="00786519">
      <w:pPr>
        <w:tabs>
          <w:tab w:val="left" w:pos="567"/>
        </w:tabs>
        <w:spacing w:after="0" w:line="240" w:lineRule="auto"/>
        <w:jc w:val="both"/>
        <w:rPr>
          <w:rFonts w:eastAsia="Garamond"/>
          <w:szCs w:val="20"/>
        </w:rPr>
      </w:pPr>
      <w:r w:rsidRPr="005F3A00">
        <w:rPr>
          <w:rFonts w:eastAsia="Garamond"/>
          <w:szCs w:val="20"/>
        </w:rPr>
        <w:t>Habilitación del parque sanitario Mariano Roque Alonso I y III en la SENAD, para el almacenaje de productos controlados por Ley N.° 1340/88.</w:t>
      </w:r>
    </w:p>
    <w:p w14:paraId="3EC939E2" w14:textId="77777777" w:rsidR="00374E4B" w:rsidRPr="005F3A00" w:rsidRDefault="00374E4B" w:rsidP="00786519">
      <w:pPr>
        <w:tabs>
          <w:tab w:val="left" w:pos="567"/>
        </w:tabs>
        <w:spacing w:after="0" w:line="240" w:lineRule="auto"/>
        <w:jc w:val="both"/>
        <w:rPr>
          <w:rFonts w:eastAsia="Garamond"/>
          <w:szCs w:val="20"/>
        </w:rPr>
      </w:pPr>
      <w:r w:rsidRPr="005F3A00">
        <w:rPr>
          <w:rFonts w:eastAsia="Garamond"/>
          <w:szCs w:val="20"/>
        </w:rPr>
        <w:t>Retiro de productos vencidos por parte de DIGESA, del Parque Sanitario MRA II, para la correspondiente destrucción.</w:t>
      </w:r>
    </w:p>
    <w:p w14:paraId="48BE5B1C" w14:textId="77777777" w:rsidR="00374E4B" w:rsidRPr="005F3A00" w:rsidRDefault="00374E4B" w:rsidP="00786519">
      <w:pPr>
        <w:tabs>
          <w:tab w:val="left" w:pos="567"/>
        </w:tabs>
        <w:spacing w:after="0" w:line="240" w:lineRule="auto"/>
        <w:jc w:val="both"/>
        <w:rPr>
          <w:rFonts w:eastAsia="Garamond"/>
          <w:szCs w:val="20"/>
        </w:rPr>
      </w:pPr>
      <w:r w:rsidRPr="005F3A00">
        <w:rPr>
          <w:rFonts w:eastAsia="Garamond"/>
          <w:szCs w:val="20"/>
        </w:rPr>
        <w:t>Inicio de gestión de residuos de los diversos Parques Sanitarios dependientes de la DGGIES.</w:t>
      </w:r>
    </w:p>
    <w:p w14:paraId="49BA0A00" w14:textId="77777777" w:rsidR="00374E4B" w:rsidRPr="005F3A00" w:rsidRDefault="00374E4B" w:rsidP="00786519">
      <w:pPr>
        <w:tabs>
          <w:tab w:val="left" w:pos="567"/>
        </w:tabs>
        <w:spacing w:after="0" w:line="240" w:lineRule="auto"/>
        <w:jc w:val="both"/>
        <w:rPr>
          <w:rFonts w:eastAsia="Garamond"/>
          <w:szCs w:val="20"/>
        </w:rPr>
      </w:pPr>
      <w:r w:rsidRPr="005F3A00">
        <w:rPr>
          <w:rFonts w:eastAsia="Garamond"/>
          <w:szCs w:val="20"/>
        </w:rPr>
        <w:t>Se almacenan productos pertenecientes a los programas ostomizados, Diabetes, Red de laboratorios, Programa de Reproducción sexual, Tuberculosis, Nefrología, PRONATER, Fibrosis Quística y Kit de Parto, así mismo dichos productos son distribuidos desde los parques sanitarios centrales a las diferentes regiones del país, y el programa de fibrosis quística el cual retira de los parques sanitarios centrales y se encarga de la distribución de sus productos, como también Salud Bucodental.</w:t>
      </w:r>
    </w:p>
    <w:p w14:paraId="011E911F" w14:textId="77777777" w:rsidR="00374E4B" w:rsidRPr="005F3A00" w:rsidRDefault="00374E4B" w:rsidP="00786519">
      <w:pPr>
        <w:tabs>
          <w:tab w:val="left" w:pos="567"/>
        </w:tabs>
        <w:spacing w:after="0" w:line="240" w:lineRule="auto"/>
        <w:jc w:val="both"/>
        <w:rPr>
          <w:rFonts w:eastAsia="Garamond"/>
          <w:szCs w:val="20"/>
        </w:rPr>
      </w:pPr>
      <w:r w:rsidRPr="005F3A00">
        <w:rPr>
          <w:rFonts w:eastAsia="Garamond"/>
          <w:szCs w:val="20"/>
        </w:rPr>
        <w:t>Se cuenta con servicio tercerizado de transporte (Consorcio Tesai Pora) para distribución de medicamentos e insumos médicos a los diversos servicios de salud a nivel país.</w:t>
      </w:r>
    </w:p>
    <w:p w14:paraId="0CB2140D" w14:textId="77777777" w:rsidR="00374E4B" w:rsidRPr="005F3A00" w:rsidRDefault="00374E4B" w:rsidP="00786519">
      <w:pPr>
        <w:tabs>
          <w:tab w:val="left" w:pos="567"/>
        </w:tabs>
        <w:spacing w:after="0" w:line="240" w:lineRule="auto"/>
        <w:jc w:val="both"/>
        <w:rPr>
          <w:rFonts w:eastAsia="Garamond"/>
          <w:szCs w:val="20"/>
        </w:rPr>
      </w:pPr>
      <w:r w:rsidRPr="005F3A00">
        <w:rPr>
          <w:rFonts w:eastAsia="Garamond"/>
          <w:szCs w:val="20"/>
        </w:rPr>
        <w:t>Contamos con áreas sectorizadas de almacenaje.</w:t>
      </w:r>
    </w:p>
    <w:p w14:paraId="26B7FCA2" w14:textId="77777777" w:rsidR="00374E4B" w:rsidRPr="005F3A00" w:rsidRDefault="00374E4B" w:rsidP="00786519">
      <w:pPr>
        <w:tabs>
          <w:tab w:val="left" w:pos="567"/>
        </w:tabs>
        <w:spacing w:after="0" w:line="240" w:lineRule="auto"/>
        <w:jc w:val="both"/>
        <w:rPr>
          <w:rFonts w:eastAsia="Garamond"/>
          <w:szCs w:val="20"/>
        </w:rPr>
      </w:pPr>
      <w:r w:rsidRPr="005F3A00">
        <w:rPr>
          <w:rFonts w:eastAsia="Garamond"/>
          <w:szCs w:val="20"/>
        </w:rPr>
        <w:t>Refacción edilicia del Parque Sanitario Venezuela.</w:t>
      </w:r>
    </w:p>
    <w:p w14:paraId="7B63A3E2" w14:textId="77777777" w:rsidR="00374E4B" w:rsidRPr="005F3A00" w:rsidRDefault="00374E4B" w:rsidP="00786519">
      <w:pPr>
        <w:tabs>
          <w:tab w:val="left" w:pos="567"/>
        </w:tabs>
        <w:spacing w:after="0" w:line="240" w:lineRule="auto"/>
        <w:jc w:val="both"/>
        <w:rPr>
          <w:rFonts w:eastAsia="Garamond"/>
          <w:szCs w:val="20"/>
        </w:rPr>
      </w:pPr>
      <w:r w:rsidRPr="005F3A00">
        <w:rPr>
          <w:rFonts w:eastAsia="Garamond"/>
          <w:szCs w:val="20"/>
        </w:rPr>
        <w:t>Expansión efectiva de la red de distribución de medicamentos e insumos médicos, garantizando mayor cobertura, acceso oportuno y eficiencia en el abastecimiento.</w:t>
      </w:r>
    </w:p>
    <w:p w14:paraId="3893132B" w14:textId="77777777" w:rsidR="00374E4B" w:rsidRPr="005F3A00" w:rsidRDefault="00374E4B" w:rsidP="00786519">
      <w:pPr>
        <w:tabs>
          <w:tab w:val="left" w:pos="567"/>
        </w:tabs>
        <w:spacing w:after="0" w:line="240" w:lineRule="auto"/>
        <w:jc w:val="both"/>
        <w:rPr>
          <w:rFonts w:eastAsia="Garamond"/>
          <w:szCs w:val="20"/>
        </w:rPr>
      </w:pPr>
      <w:r w:rsidRPr="005F3A00">
        <w:rPr>
          <w:rFonts w:eastAsia="Garamond"/>
          <w:szCs w:val="20"/>
        </w:rPr>
        <w:t>Instalación y puesta en funcionamiento exitosa de las redes y equipos de gases médicos en el nuevo Hospital de Coronel Oviedo, con acompañamiento técnico durante todo el proceso, contribuyendo a su correcta operatividad desde la inauguración del establecimiento.</w:t>
      </w:r>
    </w:p>
    <w:p w14:paraId="7D5336CD" w14:textId="77777777" w:rsidR="00374E4B" w:rsidRDefault="00374E4B" w:rsidP="00786519">
      <w:pPr>
        <w:tabs>
          <w:tab w:val="left" w:pos="567"/>
        </w:tabs>
        <w:spacing w:after="0" w:line="240" w:lineRule="auto"/>
        <w:jc w:val="both"/>
        <w:rPr>
          <w:rFonts w:eastAsia="Garamond"/>
          <w:szCs w:val="20"/>
        </w:rPr>
      </w:pPr>
      <w:r w:rsidRPr="005F3A00">
        <w:rPr>
          <w:rFonts w:eastAsia="Garamond"/>
          <w:szCs w:val="20"/>
        </w:rPr>
        <w:t>Inauguración de Plantas generadoras de oxígeno en las distintas dependencias del MSPBS en el Marco de la LPI “Provisión e instalación con puesta en marcha de plantas generadoras de oxígeno medicinal tipo PSA para servicios hospitalarios del MSPBS, Hospital General Materno Infantil San Pablo, Hospital General Pediátrico Niños de Acosta Ñu, Hospital General de Coronel Oviedo, Hospital Regional de San Juan Misiones y Hospital General de San Pedro.</w:t>
      </w:r>
    </w:p>
    <w:p w14:paraId="7C6A6309" w14:textId="77777777" w:rsidR="00374E4B" w:rsidRPr="005F3A00" w:rsidRDefault="00374E4B" w:rsidP="00786519">
      <w:pPr>
        <w:tabs>
          <w:tab w:val="left" w:pos="567"/>
        </w:tabs>
        <w:spacing w:after="0" w:line="240" w:lineRule="auto"/>
        <w:jc w:val="both"/>
        <w:rPr>
          <w:rFonts w:eastAsia="Garamond"/>
          <w:szCs w:val="20"/>
        </w:rPr>
      </w:pPr>
      <w:r w:rsidRPr="005F3A00">
        <w:rPr>
          <w:rFonts w:eastAsia="Garamond"/>
          <w:szCs w:val="20"/>
        </w:rPr>
        <w:t>Implementación en un 45% del Sistema de monitoreo de oxígeno SIMOX.</w:t>
      </w:r>
    </w:p>
    <w:p w14:paraId="1866472F" w14:textId="77777777" w:rsidR="00374E4B" w:rsidRPr="005F3A00" w:rsidRDefault="00374E4B" w:rsidP="00786519">
      <w:pPr>
        <w:tabs>
          <w:tab w:val="left" w:pos="567"/>
        </w:tabs>
        <w:spacing w:after="0" w:line="240" w:lineRule="auto"/>
        <w:jc w:val="both"/>
        <w:rPr>
          <w:rFonts w:eastAsia="Garamond"/>
          <w:szCs w:val="20"/>
        </w:rPr>
      </w:pPr>
      <w:r w:rsidRPr="005F3A00">
        <w:rPr>
          <w:rFonts w:eastAsia="Garamond"/>
          <w:szCs w:val="20"/>
        </w:rPr>
        <w:t>Fortalecimiento de los servicios de salud mediante la dotación de equipos para gases médicos, mejorando la capacidad operativa y la atención en las áreas asistenciales.</w:t>
      </w:r>
    </w:p>
    <w:p w14:paraId="26C593BE" w14:textId="7244EC6D" w:rsidR="00374E4B" w:rsidRDefault="00374E4B" w:rsidP="00786519">
      <w:pPr>
        <w:tabs>
          <w:tab w:val="left" w:pos="567"/>
        </w:tabs>
        <w:spacing w:after="0" w:line="240" w:lineRule="auto"/>
        <w:jc w:val="both"/>
        <w:rPr>
          <w:rFonts w:eastAsia="Garamond"/>
          <w:szCs w:val="20"/>
        </w:rPr>
      </w:pPr>
      <w:r w:rsidRPr="005F3A00">
        <w:rPr>
          <w:rFonts w:eastAsia="Garamond"/>
          <w:szCs w:val="20"/>
        </w:rPr>
        <w:t xml:space="preserve">Adjudicación de la Licitación 464474 - MCN N.° 23/2025 - </w:t>
      </w:r>
      <w:r w:rsidR="00786519" w:rsidRPr="005F3A00">
        <w:rPr>
          <w:rFonts w:eastAsia="Garamond"/>
          <w:szCs w:val="20"/>
        </w:rPr>
        <w:t>recarga de extintores de las oficinas administrativas y el parque sanitario Venezuela dependiente de la DGGIES.</w:t>
      </w:r>
    </w:p>
    <w:p w14:paraId="33266528" w14:textId="77777777" w:rsidR="00C72427" w:rsidRDefault="00C72427" w:rsidP="00786519">
      <w:pPr>
        <w:tabs>
          <w:tab w:val="left" w:pos="567"/>
        </w:tabs>
        <w:spacing w:after="0" w:line="240" w:lineRule="auto"/>
        <w:jc w:val="both"/>
        <w:rPr>
          <w:rFonts w:eastAsia="Garamond"/>
          <w:szCs w:val="20"/>
        </w:rPr>
      </w:pPr>
    </w:p>
    <w:p w14:paraId="048C7DAA" w14:textId="77777777" w:rsidR="00C72427" w:rsidRPr="005F3A00" w:rsidRDefault="00C72427" w:rsidP="00786519">
      <w:pPr>
        <w:tabs>
          <w:tab w:val="left" w:pos="567"/>
        </w:tabs>
        <w:spacing w:after="0" w:line="240" w:lineRule="auto"/>
        <w:jc w:val="both"/>
        <w:rPr>
          <w:rFonts w:eastAsia="Garamond"/>
          <w:szCs w:val="20"/>
        </w:rPr>
      </w:pPr>
    </w:p>
    <w:p w14:paraId="53B1BD16" w14:textId="77777777" w:rsidR="00813800" w:rsidRPr="00BD7089" w:rsidRDefault="0076581B" w:rsidP="00813800">
      <w:pPr>
        <w:pStyle w:val="Ttulo2"/>
        <w:rPr>
          <w:color w:val="00529C"/>
          <w:sz w:val="24"/>
        </w:rPr>
      </w:pPr>
      <w:bookmarkStart w:id="688" w:name="_Toc402357654"/>
      <w:bookmarkStart w:id="689" w:name="_Toc24459632"/>
      <w:bookmarkStart w:id="690" w:name="_Toc220402584"/>
      <w:bookmarkEnd w:id="360"/>
      <w:r w:rsidRPr="00BD7089">
        <w:rPr>
          <w:color w:val="00529C"/>
          <w:sz w:val="24"/>
        </w:rPr>
        <w:lastRenderedPageBreak/>
        <w:t>II</w:t>
      </w:r>
      <w:r w:rsidR="00813800" w:rsidRPr="00BD7089">
        <w:rPr>
          <w:color w:val="00529C"/>
          <w:sz w:val="24"/>
        </w:rPr>
        <w:t>.2</w:t>
      </w:r>
      <w:r w:rsidR="00813800" w:rsidRPr="00BD7089">
        <w:rPr>
          <w:color w:val="00529C"/>
          <w:sz w:val="24"/>
        </w:rPr>
        <w:tab/>
        <w:t>Principales Informaciones Complementarias de la Entidad</w:t>
      </w:r>
      <w:bookmarkEnd w:id="688"/>
      <w:bookmarkEnd w:id="689"/>
      <w:bookmarkEnd w:id="690"/>
      <w:r w:rsidR="00813800" w:rsidRPr="00BD7089">
        <w:rPr>
          <w:color w:val="00529C"/>
          <w:sz w:val="24"/>
        </w:rPr>
        <w:t xml:space="preserve"> </w:t>
      </w:r>
    </w:p>
    <w:p w14:paraId="4839CC11" w14:textId="77777777" w:rsidR="00D71B46" w:rsidRPr="00BD7089" w:rsidRDefault="00D71B46" w:rsidP="00D71B46">
      <w:pPr>
        <w:pStyle w:val="Ttulo4"/>
        <w:numPr>
          <w:ilvl w:val="3"/>
          <w:numId w:val="12"/>
        </w:numPr>
        <w:rPr>
          <w:rFonts w:ascii="Times New Roman" w:hAnsi="Times New Roman" w:cs="Times New Roman"/>
          <w:color w:val="00529C"/>
          <w:sz w:val="24"/>
        </w:rPr>
      </w:pPr>
      <w:bookmarkStart w:id="691" w:name="_Toc402350376"/>
      <w:bookmarkStart w:id="692" w:name="_Toc402354128"/>
      <w:bookmarkStart w:id="693" w:name="_Toc402355054"/>
      <w:bookmarkStart w:id="694" w:name="_Toc402355518"/>
      <w:bookmarkStart w:id="695" w:name="_Toc402356358"/>
      <w:bookmarkStart w:id="696" w:name="_Toc402357198"/>
      <w:bookmarkStart w:id="697" w:name="_Toc402358037"/>
      <w:bookmarkStart w:id="698" w:name="_Toc402350377"/>
      <w:bookmarkStart w:id="699" w:name="_Toc402354129"/>
      <w:bookmarkStart w:id="700" w:name="_Toc402355055"/>
      <w:bookmarkStart w:id="701" w:name="_Toc402355519"/>
      <w:bookmarkStart w:id="702" w:name="_Toc402356359"/>
      <w:bookmarkStart w:id="703" w:name="_Toc402357199"/>
      <w:bookmarkStart w:id="704" w:name="_Toc402358038"/>
      <w:bookmarkStart w:id="705" w:name="_Toc402350378"/>
      <w:bookmarkStart w:id="706" w:name="_Toc402354130"/>
      <w:bookmarkStart w:id="707" w:name="_Toc402355056"/>
      <w:bookmarkStart w:id="708" w:name="_Toc402355520"/>
      <w:bookmarkStart w:id="709" w:name="_Toc402356360"/>
      <w:bookmarkStart w:id="710" w:name="_Toc402357200"/>
      <w:bookmarkStart w:id="711" w:name="_Toc402358039"/>
      <w:bookmarkStart w:id="712" w:name="_Toc402350379"/>
      <w:bookmarkStart w:id="713" w:name="_Toc402354131"/>
      <w:bookmarkStart w:id="714" w:name="_Toc402355057"/>
      <w:bookmarkStart w:id="715" w:name="_Toc402355521"/>
      <w:bookmarkStart w:id="716" w:name="_Toc402356361"/>
      <w:bookmarkStart w:id="717" w:name="_Toc402357201"/>
      <w:bookmarkStart w:id="718" w:name="_Toc402358040"/>
      <w:bookmarkStart w:id="719" w:name="_Toc402350380"/>
      <w:bookmarkStart w:id="720" w:name="_Toc402354132"/>
      <w:bookmarkStart w:id="721" w:name="_Toc402355058"/>
      <w:bookmarkStart w:id="722" w:name="_Toc402355522"/>
      <w:bookmarkStart w:id="723" w:name="_Toc402356362"/>
      <w:bookmarkStart w:id="724" w:name="_Toc402357202"/>
      <w:bookmarkStart w:id="725" w:name="_Toc402358041"/>
      <w:bookmarkStart w:id="726" w:name="_Toc529857912"/>
      <w:bookmarkStart w:id="727" w:name="_Toc25043078"/>
      <w:bookmarkStart w:id="728" w:name="_Toc220402585"/>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r w:rsidRPr="00BD7089">
        <w:rPr>
          <w:rFonts w:ascii="Times New Roman" w:hAnsi="Times New Roman" w:cs="Times New Roman"/>
          <w:color w:val="00529C"/>
          <w:sz w:val="24"/>
        </w:rPr>
        <w:t>Atención a la Salud</w:t>
      </w:r>
      <w:bookmarkEnd w:id="726"/>
      <w:bookmarkEnd w:id="727"/>
      <w:bookmarkEnd w:id="728"/>
    </w:p>
    <w:p w14:paraId="6C568935" w14:textId="16AB5630" w:rsidR="00372430" w:rsidRDefault="00C72427" w:rsidP="00C811DC">
      <w:pPr>
        <w:contextualSpacing/>
        <w:jc w:val="center"/>
        <w:rPr>
          <w:highlight w:val="yellow"/>
        </w:rPr>
      </w:pPr>
      <w:r w:rsidRPr="00C72427">
        <w:rPr>
          <w:noProof/>
        </w:rPr>
        <w:drawing>
          <wp:inline distT="0" distB="0" distL="0" distR="0" wp14:anchorId="7C68DAA3" wp14:editId="35A6540B">
            <wp:extent cx="5202781" cy="6838950"/>
            <wp:effectExtent l="0" t="0" r="0" b="0"/>
            <wp:docPr id="28600913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3093" cy="6852506"/>
                    </a:xfrm>
                    <a:prstGeom prst="rect">
                      <a:avLst/>
                    </a:prstGeom>
                    <a:noFill/>
                    <a:ln>
                      <a:noFill/>
                    </a:ln>
                  </pic:spPr>
                </pic:pic>
              </a:graphicData>
            </a:graphic>
          </wp:inline>
        </w:drawing>
      </w:r>
    </w:p>
    <w:p w14:paraId="59EFC4B1" w14:textId="77777777" w:rsidR="005879F0" w:rsidRPr="00AB7BB4" w:rsidRDefault="005879F0" w:rsidP="005879F0">
      <w:pPr>
        <w:pStyle w:val="Prrafodelista"/>
        <w:spacing w:after="0" w:line="240" w:lineRule="auto"/>
        <w:ind w:left="432" w:hanging="148"/>
        <w:rPr>
          <w:rFonts w:ascii="Times New Roman" w:eastAsiaTheme="majorEastAsia" w:hAnsi="Times New Roman"/>
          <w:bCs/>
          <w:iCs/>
          <w:sz w:val="16"/>
          <w:szCs w:val="16"/>
          <w:highlight w:val="yellow"/>
        </w:rPr>
      </w:pPr>
      <w:r w:rsidRPr="00AB7BB4">
        <w:rPr>
          <w:rFonts w:ascii="Times New Roman" w:eastAsiaTheme="majorEastAsia" w:hAnsi="Times New Roman"/>
          <w:b/>
          <w:bCs/>
          <w:iCs/>
          <w:sz w:val="16"/>
          <w:szCs w:val="16"/>
        </w:rPr>
        <w:t>Fuente:</w:t>
      </w:r>
      <w:r w:rsidRPr="00AB7BB4">
        <w:rPr>
          <w:rFonts w:ascii="Times New Roman" w:eastAsiaTheme="majorEastAsia" w:hAnsi="Times New Roman"/>
          <w:bCs/>
          <w:iCs/>
          <w:sz w:val="16"/>
          <w:szCs w:val="16"/>
        </w:rPr>
        <w:t xml:space="preserve"> Servicios de Salud - Consolidación D.C.E.P.</w:t>
      </w:r>
    </w:p>
    <w:p w14:paraId="2F1240C5" w14:textId="77777777" w:rsidR="00C72427" w:rsidRDefault="00C72427" w:rsidP="00C811DC">
      <w:pPr>
        <w:contextualSpacing/>
        <w:jc w:val="center"/>
        <w:rPr>
          <w:highlight w:val="yellow"/>
        </w:rPr>
      </w:pPr>
    </w:p>
    <w:p w14:paraId="13018CA5" w14:textId="77777777" w:rsidR="00C72427" w:rsidRDefault="00C72427" w:rsidP="00C811DC">
      <w:pPr>
        <w:contextualSpacing/>
        <w:jc w:val="center"/>
        <w:rPr>
          <w:highlight w:val="yellow"/>
        </w:rPr>
      </w:pPr>
    </w:p>
    <w:p w14:paraId="4EDA98B6" w14:textId="77777777" w:rsidR="00D71B46" w:rsidRPr="005338D0" w:rsidRDefault="00D71B46" w:rsidP="00D71B46">
      <w:pPr>
        <w:pStyle w:val="Prrafodelista"/>
        <w:numPr>
          <w:ilvl w:val="3"/>
          <w:numId w:val="12"/>
        </w:numPr>
        <w:rPr>
          <w:rFonts w:ascii="Times New Roman" w:eastAsiaTheme="majorEastAsia" w:hAnsi="Times New Roman"/>
          <w:b/>
          <w:bCs/>
          <w:i/>
          <w:iCs/>
          <w:color w:val="00529C"/>
          <w:sz w:val="24"/>
        </w:rPr>
      </w:pPr>
      <w:r w:rsidRPr="005338D0">
        <w:rPr>
          <w:rFonts w:ascii="Times New Roman" w:eastAsiaTheme="majorEastAsia" w:hAnsi="Times New Roman"/>
          <w:b/>
          <w:bCs/>
          <w:i/>
          <w:iCs/>
          <w:color w:val="00529C"/>
          <w:sz w:val="24"/>
        </w:rPr>
        <w:lastRenderedPageBreak/>
        <w:t xml:space="preserve">Número de camas </w:t>
      </w:r>
    </w:p>
    <w:p w14:paraId="33214BAB" w14:textId="3A168C03" w:rsidR="00D71B46" w:rsidRDefault="005338D0" w:rsidP="00D71B46">
      <w:pPr>
        <w:pStyle w:val="Prrafodelista"/>
        <w:ind w:left="864"/>
        <w:rPr>
          <w:rFonts w:eastAsiaTheme="majorEastAsia"/>
          <w:noProof/>
          <w:lang w:val="es-PY" w:eastAsia="es-PY"/>
        </w:rPr>
      </w:pPr>
      <w:r w:rsidRPr="005338D0">
        <w:rPr>
          <w:rFonts w:eastAsiaTheme="majorEastAsia"/>
          <w:noProof/>
        </w:rPr>
        <w:drawing>
          <wp:inline distT="0" distB="0" distL="0" distR="0" wp14:anchorId="5F46DE10" wp14:editId="6ADE7BC8">
            <wp:extent cx="4173693" cy="6791325"/>
            <wp:effectExtent l="0" t="0" r="0" b="0"/>
            <wp:docPr id="144715047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1782" cy="6804487"/>
                    </a:xfrm>
                    <a:prstGeom prst="rect">
                      <a:avLst/>
                    </a:prstGeom>
                    <a:noFill/>
                    <a:ln>
                      <a:noFill/>
                    </a:ln>
                  </pic:spPr>
                </pic:pic>
              </a:graphicData>
            </a:graphic>
          </wp:inline>
        </w:drawing>
      </w:r>
    </w:p>
    <w:p w14:paraId="7FCF2C7B" w14:textId="77777777" w:rsidR="005879F0" w:rsidRPr="0015363A" w:rsidRDefault="005879F0" w:rsidP="005879F0">
      <w:pPr>
        <w:spacing w:after="0"/>
        <w:ind w:firstLine="709"/>
        <w:rPr>
          <w:rFonts w:eastAsiaTheme="majorEastAsia"/>
          <w:noProof/>
          <w:lang w:val="es-PY" w:eastAsia="es-PY"/>
        </w:rPr>
      </w:pPr>
      <w:r>
        <w:rPr>
          <w:rFonts w:eastAsiaTheme="majorEastAsia"/>
          <w:b/>
          <w:bCs/>
          <w:iCs/>
          <w:sz w:val="16"/>
          <w:szCs w:val="16"/>
        </w:rPr>
        <w:t xml:space="preserve">    </w:t>
      </w:r>
      <w:r w:rsidRPr="0015363A">
        <w:rPr>
          <w:rFonts w:eastAsiaTheme="majorEastAsia"/>
          <w:b/>
          <w:bCs/>
          <w:iCs/>
          <w:sz w:val="16"/>
          <w:szCs w:val="16"/>
        </w:rPr>
        <w:t>Fuente:</w:t>
      </w:r>
      <w:r w:rsidRPr="0015363A">
        <w:rPr>
          <w:rFonts w:eastAsiaTheme="majorEastAsia"/>
          <w:bCs/>
          <w:iCs/>
          <w:sz w:val="16"/>
          <w:szCs w:val="16"/>
        </w:rPr>
        <w:t xml:space="preserve"> Servicios de Salud - Consolidación D.C.E.P.</w:t>
      </w:r>
    </w:p>
    <w:p w14:paraId="63C7B748" w14:textId="77777777" w:rsidR="005879F0" w:rsidRDefault="005879F0" w:rsidP="00D71B46">
      <w:pPr>
        <w:pStyle w:val="Prrafodelista"/>
        <w:ind w:left="864"/>
        <w:rPr>
          <w:rFonts w:eastAsiaTheme="majorEastAsia"/>
          <w:noProof/>
          <w:lang w:val="es-PY" w:eastAsia="es-PY"/>
        </w:rPr>
      </w:pPr>
    </w:p>
    <w:p w14:paraId="1F60B8E3" w14:textId="77777777" w:rsidR="00AD45D0" w:rsidRPr="00653EA7" w:rsidRDefault="00AD45D0" w:rsidP="00AD45D0">
      <w:pPr>
        <w:pStyle w:val="Ttulo4"/>
        <w:numPr>
          <w:ilvl w:val="3"/>
          <w:numId w:val="12"/>
        </w:numPr>
        <w:rPr>
          <w:rFonts w:ascii="Times New Roman" w:hAnsi="Times New Roman" w:cs="Times New Roman"/>
          <w:color w:val="00529C"/>
          <w:sz w:val="24"/>
        </w:rPr>
      </w:pPr>
      <w:bookmarkStart w:id="729" w:name="_Toc529857914"/>
      <w:bookmarkStart w:id="730" w:name="_Toc25043079"/>
      <w:bookmarkStart w:id="731" w:name="_Toc220402586"/>
      <w:r w:rsidRPr="00653EA7">
        <w:rPr>
          <w:rFonts w:ascii="Times New Roman" w:hAnsi="Times New Roman" w:cs="Times New Roman"/>
          <w:color w:val="00529C"/>
          <w:sz w:val="24"/>
        </w:rPr>
        <w:lastRenderedPageBreak/>
        <w:t>Servicios Hospitalarios</w:t>
      </w:r>
      <w:bookmarkEnd w:id="729"/>
      <w:bookmarkEnd w:id="730"/>
      <w:bookmarkEnd w:id="731"/>
    </w:p>
    <w:p w14:paraId="5CA1A72B" w14:textId="2D9D24DC" w:rsidR="00AD45D0" w:rsidRDefault="00045F40" w:rsidP="00D71B46">
      <w:pPr>
        <w:pStyle w:val="Prrafodelista"/>
        <w:ind w:left="864"/>
        <w:rPr>
          <w:rFonts w:ascii="Times New Roman" w:eastAsiaTheme="majorEastAsia" w:hAnsi="Times New Roman"/>
          <w:b/>
          <w:bCs/>
          <w:i/>
          <w:iCs/>
          <w:color w:val="002467"/>
          <w:sz w:val="24"/>
        </w:rPr>
      </w:pPr>
      <w:r w:rsidRPr="00045F40">
        <w:rPr>
          <w:rFonts w:eastAsiaTheme="majorEastAsia"/>
          <w:noProof/>
        </w:rPr>
        <w:drawing>
          <wp:inline distT="0" distB="0" distL="0" distR="0" wp14:anchorId="4A3F237D" wp14:editId="33F32252">
            <wp:extent cx="5613400" cy="1857375"/>
            <wp:effectExtent l="0" t="0" r="6350" b="9525"/>
            <wp:docPr id="28165278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3400" cy="1857375"/>
                    </a:xfrm>
                    <a:prstGeom prst="rect">
                      <a:avLst/>
                    </a:prstGeom>
                    <a:noFill/>
                    <a:ln>
                      <a:noFill/>
                    </a:ln>
                  </pic:spPr>
                </pic:pic>
              </a:graphicData>
            </a:graphic>
          </wp:inline>
        </w:drawing>
      </w:r>
    </w:p>
    <w:p w14:paraId="00900CE9" w14:textId="1BCD8B5A" w:rsidR="00045F40" w:rsidRDefault="00045F40" w:rsidP="00045F40">
      <w:pPr>
        <w:pStyle w:val="Prrafodelista"/>
        <w:spacing w:after="0"/>
        <w:ind w:left="864"/>
        <w:rPr>
          <w:rFonts w:ascii="Times New Roman" w:eastAsia="Garamond" w:hAnsi="Times New Roman"/>
          <w:sz w:val="16"/>
          <w:szCs w:val="16"/>
        </w:rPr>
      </w:pPr>
      <w:r w:rsidRPr="00045F40">
        <w:rPr>
          <w:rFonts w:ascii="Times New Roman" w:eastAsia="Garamond" w:hAnsi="Times New Roman"/>
          <w:b/>
          <w:bCs/>
          <w:sz w:val="16"/>
          <w:szCs w:val="16"/>
        </w:rPr>
        <w:t>Fuente:</w:t>
      </w:r>
      <w:r w:rsidRPr="00045F40">
        <w:rPr>
          <w:rFonts w:ascii="Times New Roman" w:eastAsia="Garamond" w:hAnsi="Times New Roman"/>
          <w:sz w:val="16"/>
          <w:szCs w:val="16"/>
        </w:rPr>
        <w:t xml:space="preserve"> MSPBS/DIGIES/DES. Sistema de Movimiento Hospitalario (SMH).</w:t>
      </w:r>
    </w:p>
    <w:p w14:paraId="3B17C7B1" w14:textId="247E9A10" w:rsidR="00045F40" w:rsidRDefault="00045F40" w:rsidP="00045F40">
      <w:pPr>
        <w:pStyle w:val="Prrafodelista"/>
        <w:spacing w:after="0"/>
        <w:ind w:left="864"/>
        <w:rPr>
          <w:rFonts w:ascii="Times New Roman" w:eastAsia="Garamond" w:hAnsi="Times New Roman"/>
          <w:sz w:val="16"/>
          <w:szCs w:val="16"/>
        </w:rPr>
      </w:pPr>
      <w:r w:rsidRPr="00045F40">
        <w:rPr>
          <w:rFonts w:ascii="Times New Roman" w:eastAsia="Garamond" w:hAnsi="Times New Roman"/>
          <w:sz w:val="16"/>
          <w:szCs w:val="16"/>
        </w:rPr>
        <w:t>LOS DATOS CORRESPONDEN SOLO A INSTITUCIONES DEPENDIENTES DEL MSPYBS</w:t>
      </w:r>
    </w:p>
    <w:p w14:paraId="36DDD3F4" w14:textId="5F1B8EE7" w:rsidR="00045F40" w:rsidRDefault="00045F40" w:rsidP="00D71B46">
      <w:pPr>
        <w:pStyle w:val="Prrafodelista"/>
        <w:ind w:left="864"/>
        <w:rPr>
          <w:rFonts w:ascii="Times New Roman" w:eastAsia="Garamond" w:hAnsi="Times New Roman"/>
          <w:sz w:val="16"/>
          <w:szCs w:val="16"/>
        </w:rPr>
      </w:pPr>
      <w:r w:rsidRPr="00045F40">
        <w:rPr>
          <w:rFonts w:ascii="Times New Roman" w:eastAsia="Garamond" w:hAnsi="Times New Roman"/>
          <w:sz w:val="16"/>
          <w:szCs w:val="16"/>
        </w:rPr>
        <w:t>(*) Datos provisorios, sufrirán modificaciones durante el proceso de análisis de consistencia. Fecha de elaboración: 07/01/2026.</w:t>
      </w:r>
    </w:p>
    <w:p w14:paraId="4096FA22" w14:textId="77777777" w:rsidR="002E43E5" w:rsidRPr="00653EA7" w:rsidRDefault="002E43E5" w:rsidP="002E43E5">
      <w:pPr>
        <w:pStyle w:val="Ttulo4"/>
        <w:numPr>
          <w:ilvl w:val="3"/>
          <w:numId w:val="12"/>
        </w:numPr>
        <w:rPr>
          <w:rFonts w:ascii="Times New Roman" w:hAnsi="Times New Roman" w:cs="Times New Roman"/>
          <w:color w:val="00529C"/>
          <w:sz w:val="24"/>
        </w:rPr>
      </w:pPr>
      <w:bookmarkStart w:id="732" w:name="_Toc529857916"/>
      <w:bookmarkStart w:id="733" w:name="_Toc25043080"/>
      <w:bookmarkStart w:id="734" w:name="_Toc220402587"/>
      <w:r w:rsidRPr="00653EA7">
        <w:rPr>
          <w:rFonts w:ascii="Times New Roman" w:hAnsi="Times New Roman" w:cs="Times New Roman"/>
          <w:color w:val="00529C"/>
          <w:sz w:val="24"/>
        </w:rPr>
        <w:t xml:space="preserve">Mortalidad </w:t>
      </w:r>
      <w:bookmarkEnd w:id="732"/>
      <w:r w:rsidRPr="00653EA7">
        <w:rPr>
          <w:rFonts w:ascii="Times New Roman" w:hAnsi="Times New Roman" w:cs="Times New Roman"/>
          <w:color w:val="00529C"/>
          <w:sz w:val="24"/>
        </w:rPr>
        <w:t>Infantil</w:t>
      </w:r>
      <w:bookmarkEnd w:id="733"/>
      <w:bookmarkEnd w:id="734"/>
    </w:p>
    <w:p w14:paraId="7B06B833" w14:textId="08DC0FE7" w:rsidR="002E43E5" w:rsidRDefault="00045F40" w:rsidP="00D71B46">
      <w:pPr>
        <w:pStyle w:val="Prrafodelista"/>
        <w:ind w:left="864"/>
        <w:rPr>
          <w:rFonts w:eastAsiaTheme="majorEastAsia"/>
        </w:rPr>
      </w:pPr>
      <w:r w:rsidRPr="00045F40">
        <w:rPr>
          <w:rFonts w:eastAsiaTheme="majorEastAsia"/>
          <w:noProof/>
        </w:rPr>
        <w:drawing>
          <wp:inline distT="0" distB="0" distL="0" distR="0" wp14:anchorId="730AB38F" wp14:editId="13195D43">
            <wp:extent cx="5613400" cy="1009650"/>
            <wp:effectExtent l="0" t="0" r="6350" b="0"/>
            <wp:docPr id="57096157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3400" cy="1009650"/>
                    </a:xfrm>
                    <a:prstGeom prst="rect">
                      <a:avLst/>
                    </a:prstGeom>
                    <a:noFill/>
                    <a:ln>
                      <a:noFill/>
                    </a:ln>
                  </pic:spPr>
                </pic:pic>
              </a:graphicData>
            </a:graphic>
          </wp:inline>
        </w:drawing>
      </w:r>
    </w:p>
    <w:p w14:paraId="34E205E5" w14:textId="77777777" w:rsidR="00045F40" w:rsidRDefault="00045F40" w:rsidP="00045F40">
      <w:pPr>
        <w:tabs>
          <w:tab w:val="left" w:pos="1005"/>
        </w:tabs>
        <w:spacing w:after="0"/>
        <w:ind w:firstLine="851"/>
        <w:rPr>
          <w:sz w:val="16"/>
          <w:szCs w:val="16"/>
        </w:rPr>
      </w:pPr>
      <w:r w:rsidRPr="00045F40">
        <w:rPr>
          <w:b/>
          <w:bCs/>
          <w:sz w:val="16"/>
          <w:szCs w:val="16"/>
        </w:rPr>
        <w:t>Fuente:</w:t>
      </w:r>
      <w:r w:rsidRPr="00045F40">
        <w:rPr>
          <w:sz w:val="16"/>
          <w:szCs w:val="16"/>
        </w:rPr>
        <w:t xml:space="preserve"> MSPBS/DIGIES/DES. Subsistema de Información de Estadísticas Vitales (SSIEV).</w:t>
      </w:r>
    </w:p>
    <w:p w14:paraId="3E889110" w14:textId="176F119D" w:rsidR="00045F40" w:rsidRDefault="00045F40" w:rsidP="00045F40">
      <w:pPr>
        <w:tabs>
          <w:tab w:val="left" w:pos="1005"/>
        </w:tabs>
        <w:spacing w:after="0"/>
        <w:ind w:left="851"/>
        <w:rPr>
          <w:sz w:val="16"/>
          <w:szCs w:val="16"/>
        </w:rPr>
      </w:pPr>
      <w:r w:rsidRPr="00045F40">
        <w:rPr>
          <w:sz w:val="16"/>
          <w:szCs w:val="16"/>
        </w:rPr>
        <w:t>* Datos provisorios, sufrirán modificaciones durante el proceso de análisis de consistencia. Fecha de elaboración: 05/01/2026.</w:t>
      </w:r>
    </w:p>
    <w:p w14:paraId="2651197E" w14:textId="77777777" w:rsidR="00045F40" w:rsidRDefault="00045F40" w:rsidP="00045F40">
      <w:pPr>
        <w:tabs>
          <w:tab w:val="left" w:pos="1005"/>
        </w:tabs>
        <w:spacing w:after="0"/>
        <w:ind w:left="851"/>
        <w:rPr>
          <w:sz w:val="16"/>
          <w:szCs w:val="16"/>
        </w:rPr>
      </w:pPr>
      <w:r w:rsidRPr="00045F40">
        <w:rPr>
          <w:sz w:val="16"/>
          <w:szCs w:val="16"/>
        </w:rPr>
        <w:t>Tasa por 1.000 nacidos vivos.</w:t>
      </w:r>
    </w:p>
    <w:p w14:paraId="2A043A3E" w14:textId="77777777" w:rsidR="00045F40" w:rsidRPr="00045F40" w:rsidRDefault="00045F40" w:rsidP="00045F40">
      <w:pPr>
        <w:tabs>
          <w:tab w:val="left" w:pos="1005"/>
        </w:tabs>
        <w:spacing w:after="0"/>
        <w:ind w:left="851"/>
        <w:rPr>
          <w:b/>
          <w:bCs/>
          <w:sz w:val="16"/>
          <w:szCs w:val="16"/>
        </w:rPr>
      </w:pPr>
      <w:r w:rsidRPr="00045F40">
        <w:rPr>
          <w:b/>
          <w:bCs/>
          <w:sz w:val="16"/>
          <w:szCs w:val="16"/>
        </w:rPr>
        <w:t>Indicar:</w:t>
      </w:r>
    </w:p>
    <w:p w14:paraId="54D0A779" w14:textId="4EE3BBE2" w:rsidR="00045F40" w:rsidRDefault="00045F40" w:rsidP="00045F40">
      <w:pPr>
        <w:tabs>
          <w:tab w:val="left" w:pos="1005"/>
        </w:tabs>
        <w:spacing w:after="0"/>
        <w:ind w:left="851"/>
        <w:rPr>
          <w:sz w:val="16"/>
          <w:szCs w:val="16"/>
        </w:rPr>
      </w:pPr>
      <w:r>
        <w:rPr>
          <w:sz w:val="16"/>
          <w:szCs w:val="16"/>
        </w:rPr>
        <w:t xml:space="preserve"> </w:t>
      </w:r>
      <w:r w:rsidRPr="00FC22A8">
        <w:rPr>
          <w:b/>
          <w:bCs/>
          <w:sz w:val="16"/>
          <w:szCs w:val="16"/>
        </w:rPr>
        <w:t>Neonatal:</w:t>
      </w:r>
      <w:r w:rsidRPr="00045F40">
        <w:rPr>
          <w:sz w:val="16"/>
          <w:szCs w:val="16"/>
        </w:rPr>
        <w:t xml:space="preserve">  0 a 27 </w:t>
      </w:r>
      <w:r w:rsidR="00FC22A8" w:rsidRPr="00045F40">
        <w:rPr>
          <w:sz w:val="16"/>
          <w:szCs w:val="16"/>
        </w:rPr>
        <w:t>días</w:t>
      </w:r>
      <w:r w:rsidRPr="00045F40">
        <w:rPr>
          <w:sz w:val="16"/>
          <w:szCs w:val="16"/>
        </w:rPr>
        <w:t>.</w:t>
      </w:r>
    </w:p>
    <w:p w14:paraId="6CBDDD3A" w14:textId="77777777" w:rsidR="00045F40" w:rsidRDefault="00045F40" w:rsidP="00045F40">
      <w:pPr>
        <w:tabs>
          <w:tab w:val="left" w:pos="1005"/>
        </w:tabs>
        <w:spacing w:after="0"/>
        <w:ind w:left="851"/>
        <w:rPr>
          <w:sz w:val="16"/>
          <w:szCs w:val="16"/>
        </w:rPr>
      </w:pPr>
      <w:r w:rsidRPr="00FC22A8">
        <w:rPr>
          <w:b/>
          <w:bCs/>
          <w:sz w:val="16"/>
          <w:szCs w:val="16"/>
        </w:rPr>
        <w:t>Post Neonatal:</w:t>
      </w:r>
      <w:r w:rsidRPr="00045F40">
        <w:rPr>
          <w:sz w:val="16"/>
          <w:szCs w:val="16"/>
        </w:rPr>
        <w:t xml:space="preserve">  28 días a 11 meses</w:t>
      </w:r>
    </w:p>
    <w:p w14:paraId="1A43E57B" w14:textId="77777777" w:rsidR="00045F40" w:rsidRDefault="00045F40" w:rsidP="00045F40">
      <w:pPr>
        <w:tabs>
          <w:tab w:val="left" w:pos="1005"/>
        </w:tabs>
        <w:spacing w:after="0"/>
        <w:ind w:left="851"/>
        <w:rPr>
          <w:sz w:val="16"/>
          <w:szCs w:val="16"/>
        </w:rPr>
      </w:pPr>
      <w:r w:rsidRPr="00FC22A8">
        <w:rPr>
          <w:b/>
          <w:bCs/>
          <w:sz w:val="16"/>
          <w:szCs w:val="16"/>
        </w:rPr>
        <w:t>Infantil:</w:t>
      </w:r>
      <w:r w:rsidRPr="00045F40">
        <w:rPr>
          <w:sz w:val="16"/>
          <w:szCs w:val="16"/>
        </w:rPr>
        <w:t xml:space="preserve"> Menos de 1 año (de 0 días a 11 meses)</w:t>
      </w:r>
    </w:p>
    <w:p w14:paraId="0800C3B5" w14:textId="3E11CB99" w:rsidR="00045F40" w:rsidRPr="00045F40" w:rsidRDefault="00045F40" w:rsidP="00045F40">
      <w:pPr>
        <w:tabs>
          <w:tab w:val="left" w:pos="1005"/>
        </w:tabs>
        <w:spacing w:after="0"/>
        <w:ind w:left="851"/>
        <w:rPr>
          <w:sz w:val="16"/>
          <w:szCs w:val="16"/>
        </w:rPr>
      </w:pPr>
      <w:r w:rsidRPr="00045F40">
        <w:rPr>
          <w:sz w:val="16"/>
          <w:szCs w:val="16"/>
        </w:rPr>
        <w:t>&lt; 5 años:  Menos de 5 año (de 0 días a 4 años)</w:t>
      </w:r>
      <w:r w:rsidRPr="00045F40">
        <w:rPr>
          <w:sz w:val="16"/>
          <w:szCs w:val="16"/>
        </w:rPr>
        <w:tab/>
      </w:r>
    </w:p>
    <w:p w14:paraId="179F642E" w14:textId="761E6B21" w:rsidR="00045F40" w:rsidRDefault="00045F40" w:rsidP="00045F40">
      <w:pPr>
        <w:tabs>
          <w:tab w:val="left" w:pos="1005"/>
        </w:tabs>
      </w:pPr>
    </w:p>
    <w:p w14:paraId="27B72E5B" w14:textId="77777777" w:rsidR="00563AAD" w:rsidRDefault="00563AAD" w:rsidP="00563AAD"/>
    <w:p w14:paraId="759D2873" w14:textId="77777777" w:rsidR="00C74665" w:rsidRPr="00C74665" w:rsidRDefault="00C74665" w:rsidP="00C74665"/>
    <w:p w14:paraId="3EBF4987" w14:textId="77777777" w:rsidR="00C74665" w:rsidRPr="00C74665" w:rsidRDefault="00C74665" w:rsidP="00C74665"/>
    <w:p w14:paraId="5514CFB1" w14:textId="77777777" w:rsidR="00C74665" w:rsidRPr="00C74665" w:rsidRDefault="00C74665" w:rsidP="00C74665"/>
    <w:p w14:paraId="6E89DE10" w14:textId="77777777" w:rsidR="00C74665" w:rsidRPr="00C74665" w:rsidRDefault="00C74665" w:rsidP="00C74665"/>
    <w:p w14:paraId="6C08FD21" w14:textId="77777777" w:rsidR="00C74665" w:rsidRPr="00C74665" w:rsidRDefault="00C74665" w:rsidP="00C74665"/>
    <w:p w14:paraId="50857957" w14:textId="77777777" w:rsidR="00C74665" w:rsidRPr="00C74665" w:rsidRDefault="00C74665" w:rsidP="00C74665"/>
    <w:p w14:paraId="58635C0A" w14:textId="77777777" w:rsidR="00C74665" w:rsidRPr="00C74665" w:rsidRDefault="00C74665" w:rsidP="00C74665"/>
    <w:p w14:paraId="579278C8" w14:textId="77777777" w:rsidR="00C74665" w:rsidRPr="00C74665" w:rsidRDefault="00C74665" w:rsidP="00C74665">
      <w:pPr>
        <w:tabs>
          <w:tab w:val="left" w:pos="1065"/>
        </w:tabs>
      </w:pPr>
    </w:p>
    <w:p w14:paraId="4BD5722A" w14:textId="77777777" w:rsidR="002E43E5" w:rsidRPr="00672D7B" w:rsidRDefault="002E43E5" w:rsidP="002E43E5">
      <w:pPr>
        <w:pStyle w:val="Ttulo4"/>
        <w:numPr>
          <w:ilvl w:val="3"/>
          <w:numId w:val="12"/>
        </w:numPr>
        <w:rPr>
          <w:rFonts w:ascii="Times New Roman" w:hAnsi="Times New Roman" w:cs="Times New Roman"/>
          <w:color w:val="00529C"/>
          <w:sz w:val="24"/>
        </w:rPr>
      </w:pPr>
      <w:bookmarkStart w:id="735" w:name="_Toc25043081"/>
      <w:bookmarkStart w:id="736" w:name="_Toc220402588"/>
      <w:r w:rsidRPr="00672D7B">
        <w:rPr>
          <w:rFonts w:ascii="Times New Roman" w:hAnsi="Times New Roman" w:cs="Times New Roman"/>
          <w:color w:val="00529C"/>
          <w:sz w:val="24"/>
        </w:rPr>
        <w:t>Mortalidad Materna</w:t>
      </w:r>
      <w:bookmarkEnd w:id="735"/>
      <w:bookmarkEnd w:id="736"/>
    </w:p>
    <w:p w14:paraId="568995FD" w14:textId="1D6BDA41" w:rsidR="002E43E5" w:rsidRPr="00563AAD" w:rsidRDefault="00563AAD" w:rsidP="00D71B46">
      <w:pPr>
        <w:pStyle w:val="Prrafodelista"/>
        <w:ind w:left="864"/>
        <w:rPr>
          <w:rFonts w:ascii="Times New Roman" w:eastAsiaTheme="minorHAnsi" w:hAnsi="Times New Roman"/>
          <w:sz w:val="18"/>
          <w:szCs w:val="18"/>
        </w:rPr>
      </w:pPr>
      <w:r w:rsidRPr="00563AAD">
        <w:rPr>
          <w:rFonts w:ascii="Times New Roman" w:eastAsiaTheme="minorHAnsi" w:hAnsi="Times New Roman"/>
          <w:noProof/>
          <w:sz w:val="18"/>
          <w:szCs w:val="18"/>
        </w:rPr>
        <w:drawing>
          <wp:inline distT="0" distB="0" distL="0" distR="0" wp14:anchorId="73486BD4" wp14:editId="1E78DABA">
            <wp:extent cx="3752850" cy="4838700"/>
            <wp:effectExtent l="0" t="0" r="0" b="0"/>
            <wp:docPr id="64437645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4838700"/>
                    </a:xfrm>
                    <a:prstGeom prst="rect">
                      <a:avLst/>
                    </a:prstGeom>
                    <a:noFill/>
                    <a:ln>
                      <a:noFill/>
                    </a:ln>
                  </pic:spPr>
                </pic:pic>
              </a:graphicData>
            </a:graphic>
          </wp:inline>
        </w:drawing>
      </w:r>
    </w:p>
    <w:p w14:paraId="141CD94D" w14:textId="2CBDCC58" w:rsidR="00563AAD" w:rsidRDefault="00563AAD" w:rsidP="00563AAD">
      <w:pPr>
        <w:pStyle w:val="Prrafodelista"/>
        <w:spacing w:after="0"/>
        <w:ind w:left="864"/>
        <w:rPr>
          <w:rFonts w:ascii="Times New Roman" w:eastAsiaTheme="minorHAnsi" w:hAnsi="Times New Roman"/>
          <w:sz w:val="16"/>
          <w:szCs w:val="16"/>
        </w:rPr>
      </w:pPr>
      <w:r w:rsidRPr="00563AAD">
        <w:rPr>
          <w:rFonts w:ascii="Times New Roman" w:eastAsiaTheme="minorHAnsi" w:hAnsi="Times New Roman"/>
          <w:b/>
          <w:bCs/>
          <w:sz w:val="16"/>
          <w:szCs w:val="16"/>
        </w:rPr>
        <w:t>Fuente:</w:t>
      </w:r>
      <w:r w:rsidRPr="00563AAD">
        <w:rPr>
          <w:rFonts w:ascii="Times New Roman" w:eastAsiaTheme="minorHAnsi" w:hAnsi="Times New Roman"/>
          <w:sz w:val="16"/>
          <w:szCs w:val="16"/>
        </w:rPr>
        <w:t xml:space="preserve"> MSPBS/DIGIES/DES. Subsistema de Información de Estadísticas Vitales (SSIEV).</w:t>
      </w:r>
    </w:p>
    <w:p w14:paraId="61FF4FF7" w14:textId="77777777" w:rsidR="00563AAD" w:rsidRDefault="00563AAD" w:rsidP="00563AAD">
      <w:pPr>
        <w:pStyle w:val="Prrafodelista"/>
        <w:spacing w:after="0"/>
        <w:ind w:left="864"/>
        <w:rPr>
          <w:rFonts w:ascii="Times New Roman" w:eastAsiaTheme="minorHAnsi" w:hAnsi="Times New Roman"/>
          <w:sz w:val="16"/>
          <w:szCs w:val="16"/>
        </w:rPr>
      </w:pPr>
      <w:r w:rsidRPr="00563AAD">
        <w:rPr>
          <w:rFonts w:ascii="Times New Roman" w:eastAsiaTheme="minorHAnsi" w:hAnsi="Times New Roman"/>
          <w:sz w:val="16"/>
          <w:szCs w:val="16"/>
        </w:rPr>
        <w:t xml:space="preserve">* Datos provisorios, sufrirán modificaciones durante el proceso de análisis de consistencia. </w:t>
      </w:r>
    </w:p>
    <w:p w14:paraId="77D030D2" w14:textId="3D618A31" w:rsidR="00563AAD" w:rsidRDefault="00563AAD" w:rsidP="00563AAD">
      <w:pPr>
        <w:pStyle w:val="Prrafodelista"/>
        <w:spacing w:after="0"/>
        <w:ind w:left="864"/>
        <w:rPr>
          <w:rFonts w:ascii="Times New Roman" w:eastAsiaTheme="minorHAnsi" w:hAnsi="Times New Roman"/>
          <w:sz w:val="16"/>
          <w:szCs w:val="16"/>
        </w:rPr>
      </w:pPr>
      <w:r w:rsidRPr="00563AAD">
        <w:rPr>
          <w:rFonts w:ascii="Times New Roman" w:eastAsiaTheme="minorHAnsi" w:hAnsi="Times New Roman"/>
          <w:sz w:val="16"/>
          <w:szCs w:val="16"/>
        </w:rPr>
        <w:t>Fecha de elaboración: 05/01/2026.</w:t>
      </w:r>
    </w:p>
    <w:p w14:paraId="47EF07FF" w14:textId="3A0E056B" w:rsidR="00563AAD" w:rsidRDefault="00563AAD" w:rsidP="00563AAD">
      <w:pPr>
        <w:pStyle w:val="Prrafodelista"/>
        <w:spacing w:after="0"/>
        <w:ind w:left="864"/>
        <w:rPr>
          <w:rFonts w:ascii="Times New Roman" w:eastAsiaTheme="minorHAnsi" w:hAnsi="Times New Roman"/>
          <w:sz w:val="16"/>
          <w:szCs w:val="16"/>
        </w:rPr>
      </w:pPr>
      <w:r w:rsidRPr="00563AAD">
        <w:rPr>
          <w:rFonts w:ascii="Times New Roman" w:eastAsiaTheme="minorHAnsi" w:hAnsi="Times New Roman"/>
          <w:sz w:val="16"/>
          <w:szCs w:val="16"/>
        </w:rPr>
        <w:t>Tasa por 100.000 nacidos vivos.</w:t>
      </w:r>
    </w:p>
    <w:p w14:paraId="641AC261" w14:textId="77777777" w:rsidR="005A31CA" w:rsidRPr="005A31CA" w:rsidRDefault="005A31CA" w:rsidP="005A31CA"/>
    <w:p w14:paraId="612B8270" w14:textId="77777777" w:rsidR="005A31CA" w:rsidRPr="005A31CA" w:rsidRDefault="005A31CA" w:rsidP="005A31CA"/>
    <w:p w14:paraId="44EB6381" w14:textId="77777777" w:rsidR="005A31CA" w:rsidRDefault="005A31CA" w:rsidP="005A31CA">
      <w:pPr>
        <w:rPr>
          <w:sz w:val="16"/>
          <w:szCs w:val="16"/>
        </w:rPr>
      </w:pPr>
    </w:p>
    <w:p w14:paraId="00B6637F" w14:textId="29AF770B" w:rsidR="005A31CA" w:rsidRDefault="005A31CA" w:rsidP="005A31CA">
      <w:pPr>
        <w:tabs>
          <w:tab w:val="left" w:pos="1635"/>
        </w:tabs>
      </w:pPr>
      <w:r>
        <w:tab/>
      </w:r>
    </w:p>
    <w:p w14:paraId="20D1449F" w14:textId="77777777" w:rsidR="005A31CA" w:rsidRDefault="005A31CA" w:rsidP="005A31CA">
      <w:pPr>
        <w:tabs>
          <w:tab w:val="left" w:pos="1635"/>
        </w:tabs>
      </w:pPr>
    </w:p>
    <w:p w14:paraId="335615A5" w14:textId="77777777" w:rsidR="005A31CA" w:rsidRDefault="005A31CA" w:rsidP="005A31CA">
      <w:pPr>
        <w:tabs>
          <w:tab w:val="left" w:pos="1635"/>
        </w:tabs>
      </w:pPr>
    </w:p>
    <w:p w14:paraId="54855093" w14:textId="77777777" w:rsidR="005A31CA" w:rsidRDefault="005A31CA" w:rsidP="005A31CA">
      <w:pPr>
        <w:tabs>
          <w:tab w:val="left" w:pos="1635"/>
        </w:tabs>
      </w:pPr>
    </w:p>
    <w:p w14:paraId="74DE2301" w14:textId="77777777" w:rsidR="005A31CA" w:rsidRPr="005A31CA" w:rsidRDefault="005A31CA" w:rsidP="005A31CA">
      <w:pPr>
        <w:tabs>
          <w:tab w:val="left" w:pos="1635"/>
        </w:tabs>
      </w:pPr>
    </w:p>
    <w:p w14:paraId="774BF7DA" w14:textId="77777777" w:rsidR="002E43E5" w:rsidRDefault="002E43E5" w:rsidP="002E43E5">
      <w:pPr>
        <w:pStyle w:val="Ttulo4"/>
        <w:numPr>
          <w:ilvl w:val="3"/>
          <w:numId w:val="12"/>
        </w:numPr>
        <w:rPr>
          <w:rFonts w:ascii="Times New Roman" w:hAnsi="Times New Roman" w:cs="Times New Roman"/>
          <w:color w:val="00529C"/>
          <w:sz w:val="24"/>
        </w:rPr>
      </w:pPr>
      <w:bookmarkStart w:id="737" w:name="_Toc529857917"/>
      <w:bookmarkStart w:id="738" w:name="_Toc25043082"/>
      <w:bookmarkStart w:id="739" w:name="_Toc220402589"/>
      <w:r w:rsidRPr="00672D7B">
        <w:rPr>
          <w:rFonts w:ascii="Times New Roman" w:hAnsi="Times New Roman" w:cs="Times New Roman"/>
          <w:color w:val="00529C"/>
          <w:sz w:val="24"/>
        </w:rPr>
        <w:t>Unidad de Salud de la Familia (USF)</w:t>
      </w:r>
      <w:bookmarkEnd w:id="737"/>
      <w:bookmarkEnd w:id="738"/>
      <w:bookmarkEnd w:id="739"/>
    </w:p>
    <w:p w14:paraId="2E6842FE" w14:textId="77777777" w:rsidR="005A31CA" w:rsidRPr="005A31CA" w:rsidRDefault="005A31CA" w:rsidP="005A31CA">
      <w:pPr>
        <w:rPr>
          <w:sz w:val="10"/>
          <w:szCs w:val="10"/>
        </w:rPr>
      </w:pPr>
    </w:p>
    <w:p w14:paraId="38706A72" w14:textId="3D0D2524" w:rsidR="002E43E5" w:rsidRDefault="005A31CA" w:rsidP="00D71B46">
      <w:pPr>
        <w:pStyle w:val="Prrafodelista"/>
        <w:ind w:left="864"/>
        <w:rPr>
          <w:rFonts w:eastAsiaTheme="majorEastAsia"/>
          <w:noProof/>
        </w:rPr>
      </w:pPr>
      <w:r w:rsidRPr="005A31CA">
        <w:rPr>
          <w:rFonts w:eastAsiaTheme="majorEastAsia"/>
          <w:noProof/>
        </w:rPr>
        <w:drawing>
          <wp:inline distT="0" distB="0" distL="0" distR="0" wp14:anchorId="5B3B0DD0" wp14:editId="2ECB01B4">
            <wp:extent cx="5610225" cy="4638675"/>
            <wp:effectExtent l="0" t="0" r="9525" b="9525"/>
            <wp:docPr id="3233767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0225" cy="4638675"/>
                    </a:xfrm>
                    <a:prstGeom prst="rect">
                      <a:avLst/>
                    </a:prstGeom>
                    <a:noFill/>
                    <a:ln>
                      <a:noFill/>
                    </a:ln>
                  </pic:spPr>
                </pic:pic>
              </a:graphicData>
            </a:graphic>
          </wp:inline>
        </w:drawing>
      </w:r>
    </w:p>
    <w:p w14:paraId="43634C61" w14:textId="77777777" w:rsidR="00FC22A8" w:rsidRPr="00FC22A8" w:rsidRDefault="00FC22A8" w:rsidP="00FC22A8"/>
    <w:p w14:paraId="700F7C36" w14:textId="77777777" w:rsidR="00FC22A8" w:rsidRPr="00FC22A8" w:rsidRDefault="00FC22A8" w:rsidP="00FC22A8"/>
    <w:p w14:paraId="012ACA18" w14:textId="77777777" w:rsidR="00FC22A8" w:rsidRPr="00FC22A8" w:rsidRDefault="00FC22A8" w:rsidP="00FC22A8"/>
    <w:p w14:paraId="11397A67" w14:textId="77777777" w:rsidR="00FC22A8" w:rsidRPr="00FC22A8" w:rsidRDefault="00FC22A8" w:rsidP="00FC22A8"/>
    <w:p w14:paraId="1EC2AE8D" w14:textId="77777777" w:rsidR="00FC22A8" w:rsidRPr="00FC22A8" w:rsidRDefault="00FC22A8" w:rsidP="00FC22A8"/>
    <w:p w14:paraId="33C95232" w14:textId="77777777" w:rsidR="00FC22A8" w:rsidRPr="00FC22A8" w:rsidRDefault="00FC22A8" w:rsidP="00FC22A8"/>
    <w:p w14:paraId="6B847B6B" w14:textId="77777777" w:rsidR="00FC22A8" w:rsidRPr="00FC22A8" w:rsidRDefault="00FC22A8" w:rsidP="00FC22A8"/>
    <w:p w14:paraId="3F1C6CCF" w14:textId="77777777" w:rsidR="00FC22A8" w:rsidRPr="00FC22A8" w:rsidRDefault="00FC22A8" w:rsidP="00FC22A8"/>
    <w:p w14:paraId="1B3BF3C3" w14:textId="77777777" w:rsidR="00FC22A8" w:rsidRDefault="00FC22A8" w:rsidP="00FC22A8">
      <w:pPr>
        <w:rPr>
          <w:rFonts w:ascii="Calibri" w:eastAsiaTheme="majorEastAsia" w:hAnsi="Calibri"/>
          <w:noProof/>
        </w:rPr>
      </w:pPr>
    </w:p>
    <w:p w14:paraId="2718F677" w14:textId="77777777" w:rsidR="00FC22A8" w:rsidRDefault="00FC22A8" w:rsidP="00FC22A8">
      <w:pPr>
        <w:rPr>
          <w:rFonts w:ascii="Calibri" w:eastAsiaTheme="majorEastAsia" w:hAnsi="Calibri"/>
          <w:noProof/>
        </w:rPr>
      </w:pPr>
    </w:p>
    <w:p w14:paraId="4BB061D1" w14:textId="2D086E11" w:rsidR="002E43E5" w:rsidRDefault="002E43E5" w:rsidP="002E43E5">
      <w:pPr>
        <w:pStyle w:val="Ttulo4"/>
        <w:numPr>
          <w:ilvl w:val="3"/>
          <w:numId w:val="12"/>
        </w:numPr>
        <w:rPr>
          <w:rFonts w:ascii="Times New Roman" w:hAnsi="Times New Roman" w:cs="Times New Roman"/>
          <w:color w:val="00529C"/>
          <w:sz w:val="24"/>
        </w:rPr>
      </w:pPr>
      <w:bookmarkStart w:id="740" w:name="_Toc529857918"/>
      <w:bookmarkStart w:id="741" w:name="_Toc25043083"/>
      <w:bookmarkStart w:id="742" w:name="_Toc220402590"/>
      <w:r w:rsidRPr="00672D7B">
        <w:rPr>
          <w:rFonts w:ascii="Times New Roman" w:hAnsi="Times New Roman" w:cs="Times New Roman"/>
          <w:color w:val="00529C"/>
          <w:sz w:val="24"/>
        </w:rPr>
        <w:t>Instituciones del MSP</w:t>
      </w:r>
      <w:r w:rsidR="008A02D3">
        <w:rPr>
          <w:rFonts w:ascii="Times New Roman" w:hAnsi="Times New Roman" w:cs="Times New Roman"/>
          <w:color w:val="00529C"/>
          <w:sz w:val="24"/>
        </w:rPr>
        <w:t xml:space="preserve"> </w:t>
      </w:r>
      <w:r w:rsidRPr="00672D7B">
        <w:rPr>
          <w:rFonts w:ascii="Times New Roman" w:hAnsi="Times New Roman" w:cs="Times New Roman"/>
          <w:color w:val="00529C"/>
          <w:sz w:val="24"/>
        </w:rPr>
        <w:t>y</w:t>
      </w:r>
      <w:r w:rsidR="008A02D3">
        <w:rPr>
          <w:rFonts w:ascii="Times New Roman" w:hAnsi="Times New Roman" w:cs="Times New Roman"/>
          <w:color w:val="00529C"/>
          <w:sz w:val="24"/>
        </w:rPr>
        <w:t xml:space="preserve"> </w:t>
      </w:r>
      <w:r w:rsidRPr="00672D7B">
        <w:rPr>
          <w:rFonts w:ascii="Times New Roman" w:hAnsi="Times New Roman" w:cs="Times New Roman"/>
          <w:color w:val="00529C"/>
          <w:sz w:val="24"/>
        </w:rPr>
        <w:t>BS según Tipo</w:t>
      </w:r>
      <w:bookmarkEnd w:id="740"/>
      <w:bookmarkEnd w:id="741"/>
      <w:bookmarkEnd w:id="742"/>
    </w:p>
    <w:p w14:paraId="4CC39B63" w14:textId="77777777" w:rsidR="005A31CA" w:rsidRPr="005A31CA" w:rsidRDefault="005A31CA" w:rsidP="005A31CA">
      <w:pPr>
        <w:rPr>
          <w:sz w:val="10"/>
          <w:szCs w:val="10"/>
        </w:rPr>
      </w:pPr>
    </w:p>
    <w:p w14:paraId="48A576ED" w14:textId="5084F03F" w:rsidR="002E43E5" w:rsidRDefault="00DE0CB7" w:rsidP="00D71B46">
      <w:pPr>
        <w:pStyle w:val="Prrafodelista"/>
        <w:ind w:left="864"/>
        <w:rPr>
          <w:rFonts w:ascii="Times New Roman" w:eastAsiaTheme="majorEastAsia" w:hAnsi="Times New Roman"/>
          <w:b/>
          <w:bCs/>
          <w:i/>
          <w:iCs/>
          <w:color w:val="002467"/>
          <w:sz w:val="24"/>
        </w:rPr>
      </w:pPr>
      <w:r w:rsidRPr="00DE0CB7">
        <w:rPr>
          <w:rFonts w:eastAsiaTheme="majorEastAsia"/>
          <w:noProof/>
        </w:rPr>
        <w:drawing>
          <wp:inline distT="0" distB="0" distL="0" distR="0" wp14:anchorId="43374B0A" wp14:editId="0C61CCCB">
            <wp:extent cx="5613400" cy="3375660"/>
            <wp:effectExtent l="0" t="0" r="6350" b="0"/>
            <wp:docPr id="175383179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3400" cy="3375660"/>
                    </a:xfrm>
                    <a:prstGeom prst="rect">
                      <a:avLst/>
                    </a:prstGeom>
                    <a:noFill/>
                    <a:ln>
                      <a:noFill/>
                    </a:ln>
                  </pic:spPr>
                </pic:pic>
              </a:graphicData>
            </a:graphic>
          </wp:inline>
        </w:drawing>
      </w:r>
    </w:p>
    <w:p w14:paraId="030C10DF" w14:textId="600E698C" w:rsidR="00DE0CB7" w:rsidRDefault="00DE0CB7" w:rsidP="00DE0CB7">
      <w:pPr>
        <w:pStyle w:val="Prrafodelista"/>
        <w:spacing w:after="0"/>
        <w:ind w:left="864"/>
        <w:rPr>
          <w:rFonts w:ascii="Times New Roman" w:eastAsiaTheme="minorHAnsi" w:hAnsi="Times New Roman"/>
          <w:sz w:val="16"/>
          <w:szCs w:val="16"/>
        </w:rPr>
      </w:pPr>
      <w:r w:rsidRPr="00DE0CB7">
        <w:rPr>
          <w:rFonts w:ascii="Times New Roman" w:eastAsiaTheme="minorHAnsi" w:hAnsi="Times New Roman"/>
          <w:b/>
          <w:bCs/>
          <w:sz w:val="16"/>
          <w:szCs w:val="16"/>
        </w:rPr>
        <w:t xml:space="preserve">Fuentes: </w:t>
      </w:r>
      <w:r w:rsidRPr="00DE0CB7">
        <w:rPr>
          <w:rFonts w:ascii="Times New Roman" w:eastAsiaTheme="minorHAnsi" w:hAnsi="Times New Roman"/>
          <w:sz w:val="16"/>
          <w:szCs w:val="16"/>
        </w:rPr>
        <w:t>MSPBS/DIGIES/DES. Sub-Sistema de Información de Servicios de Salud - Área Ambulatoria (SAA).</w:t>
      </w:r>
    </w:p>
    <w:p w14:paraId="31E96C42" w14:textId="4C2FB342" w:rsidR="00DE0CB7" w:rsidRPr="00DE0CB7" w:rsidRDefault="00DE0CB7" w:rsidP="00DE0CB7">
      <w:pPr>
        <w:pStyle w:val="Prrafodelista"/>
        <w:spacing w:after="0"/>
        <w:ind w:left="864"/>
        <w:rPr>
          <w:rFonts w:eastAsiaTheme="minorEastAsia"/>
          <w:sz w:val="16"/>
          <w:szCs w:val="16"/>
          <w:lang w:val="es-PY"/>
        </w:rPr>
      </w:pPr>
      <w:r w:rsidRPr="00DE0CB7">
        <w:rPr>
          <w:rFonts w:eastAsiaTheme="minorEastAsia"/>
          <w:b/>
          <w:bCs/>
          <w:sz w:val="16"/>
          <w:szCs w:val="16"/>
        </w:rPr>
        <w:t>HR:</w:t>
      </w:r>
      <w:r w:rsidRPr="00DE0CB7">
        <w:rPr>
          <w:rFonts w:eastAsiaTheme="minorEastAsia"/>
          <w:sz w:val="16"/>
          <w:szCs w:val="16"/>
        </w:rPr>
        <w:t xml:space="preserve"> Hospital Regional</w:t>
      </w:r>
      <w:r>
        <w:rPr>
          <w:rFonts w:eastAsiaTheme="minorEastAsia"/>
          <w:sz w:val="16"/>
          <w:szCs w:val="16"/>
        </w:rPr>
        <w:tab/>
      </w:r>
      <w:r>
        <w:rPr>
          <w:rFonts w:eastAsiaTheme="minorEastAsia"/>
          <w:sz w:val="16"/>
          <w:szCs w:val="16"/>
        </w:rPr>
        <w:tab/>
      </w:r>
      <w:r>
        <w:rPr>
          <w:rFonts w:eastAsiaTheme="minorEastAsia"/>
          <w:sz w:val="16"/>
          <w:szCs w:val="16"/>
        </w:rPr>
        <w:tab/>
      </w:r>
      <w:r w:rsidRPr="00DE0CB7">
        <w:rPr>
          <w:rFonts w:eastAsiaTheme="minorEastAsia"/>
          <w:b/>
          <w:bCs/>
          <w:sz w:val="16"/>
          <w:szCs w:val="16"/>
          <w:lang w:val="es-PY"/>
        </w:rPr>
        <w:t>HE:</w:t>
      </w:r>
      <w:r w:rsidRPr="00DE0CB7">
        <w:rPr>
          <w:rFonts w:eastAsiaTheme="minorEastAsia"/>
          <w:sz w:val="16"/>
          <w:szCs w:val="16"/>
          <w:lang w:val="es-PY"/>
        </w:rPr>
        <w:t xml:space="preserve"> Hospital Especializado</w:t>
      </w:r>
    </w:p>
    <w:p w14:paraId="62A33FD4" w14:textId="5CFCC244" w:rsidR="00DE0CB7" w:rsidRPr="00DE0CB7" w:rsidRDefault="00DE0CB7" w:rsidP="00DE0CB7">
      <w:pPr>
        <w:pStyle w:val="Prrafodelista"/>
        <w:spacing w:after="0"/>
        <w:ind w:left="864"/>
        <w:rPr>
          <w:sz w:val="16"/>
          <w:szCs w:val="16"/>
          <w:lang w:val="es-PY"/>
        </w:rPr>
      </w:pPr>
      <w:r w:rsidRPr="00DE0CB7">
        <w:rPr>
          <w:b/>
          <w:bCs/>
          <w:sz w:val="16"/>
          <w:szCs w:val="16"/>
        </w:rPr>
        <w:t>HD:</w:t>
      </w:r>
      <w:r w:rsidRPr="00DE0CB7">
        <w:rPr>
          <w:sz w:val="16"/>
          <w:szCs w:val="16"/>
        </w:rPr>
        <w:t xml:space="preserve"> Hospital Distrital</w:t>
      </w:r>
      <w:r>
        <w:rPr>
          <w:sz w:val="16"/>
          <w:szCs w:val="16"/>
        </w:rPr>
        <w:tab/>
      </w:r>
      <w:r>
        <w:rPr>
          <w:sz w:val="16"/>
          <w:szCs w:val="16"/>
        </w:rPr>
        <w:tab/>
      </w:r>
      <w:r>
        <w:rPr>
          <w:sz w:val="16"/>
          <w:szCs w:val="16"/>
        </w:rPr>
        <w:tab/>
      </w:r>
      <w:r w:rsidRPr="00DE0CB7">
        <w:rPr>
          <w:b/>
          <w:bCs/>
          <w:sz w:val="16"/>
          <w:szCs w:val="16"/>
          <w:lang w:val="es-PY"/>
        </w:rPr>
        <w:t xml:space="preserve">HG: </w:t>
      </w:r>
      <w:r w:rsidRPr="00DE0CB7">
        <w:rPr>
          <w:sz w:val="16"/>
          <w:szCs w:val="16"/>
          <w:lang w:val="es-PY"/>
        </w:rPr>
        <w:t>Hospital General</w:t>
      </w:r>
    </w:p>
    <w:p w14:paraId="6CA1C5AD" w14:textId="77777777" w:rsidR="00DE0CB7" w:rsidRPr="00DE0CB7" w:rsidRDefault="00DE0CB7" w:rsidP="00DE0CB7">
      <w:pPr>
        <w:pStyle w:val="Prrafodelista"/>
        <w:spacing w:after="0"/>
        <w:ind w:left="864"/>
        <w:rPr>
          <w:sz w:val="16"/>
          <w:szCs w:val="16"/>
          <w:lang w:val="es-PY"/>
        </w:rPr>
      </w:pPr>
      <w:r w:rsidRPr="00DE0CB7">
        <w:rPr>
          <w:b/>
          <w:bCs/>
          <w:sz w:val="16"/>
          <w:szCs w:val="16"/>
        </w:rPr>
        <w:t xml:space="preserve">HGMI: </w:t>
      </w:r>
      <w:r w:rsidRPr="00DE0CB7">
        <w:rPr>
          <w:sz w:val="16"/>
          <w:szCs w:val="16"/>
        </w:rPr>
        <w:t>Hospital General Materno Infantil</w:t>
      </w:r>
      <w:r>
        <w:rPr>
          <w:sz w:val="16"/>
          <w:szCs w:val="16"/>
        </w:rPr>
        <w:tab/>
      </w:r>
      <w:r>
        <w:rPr>
          <w:sz w:val="16"/>
          <w:szCs w:val="16"/>
        </w:rPr>
        <w:tab/>
      </w:r>
      <w:r w:rsidRPr="00DE0CB7">
        <w:rPr>
          <w:b/>
          <w:bCs/>
          <w:sz w:val="16"/>
          <w:szCs w:val="16"/>
          <w:lang w:val="es-PY"/>
        </w:rPr>
        <w:t>HMI:</w:t>
      </w:r>
      <w:r w:rsidRPr="00DE0CB7">
        <w:rPr>
          <w:sz w:val="16"/>
          <w:szCs w:val="16"/>
          <w:lang w:val="es-PY"/>
        </w:rPr>
        <w:t xml:space="preserve"> Hospital Materno Infantil</w:t>
      </w:r>
    </w:p>
    <w:p w14:paraId="0A15ADB0" w14:textId="3D2E51B0" w:rsidR="00DE0CB7" w:rsidRPr="00DE0CB7" w:rsidRDefault="00DE0CB7" w:rsidP="00DE0CB7">
      <w:pPr>
        <w:pStyle w:val="Prrafodelista"/>
        <w:spacing w:after="0"/>
        <w:ind w:left="864"/>
        <w:rPr>
          <w:sz w:val="16"/>
          <w:szCs w:val="16"/>
          <w:lang w:val="es-PY"/>
        </w:rPr>
      </w:pPr>
      <w:r w:rsidRPr="00DE0CB7">
        <w:rPr>
          <w:b/>
          <w:bCs/>
          <w:sz w:val="16"/>
          <w:szCs w:val="16"/>
        </w:rPr>
        <w:t>HB</w:t>
      </w:r>
      <w:r w:rsidRPr="00DE0CB7">
        <w:rPr>
          <w:sz w:val="16"/>
          <w:szCs w:val="16"/>
        </w:rPr>
        <w:t>: Hospital Básico</w:t>
      </w:r>
      <w:r>
        <w:rPr>
          <w:sz w:val="16"/>
          <w:szCs w:val="16"/>
        </w:rPr>
        <w:tab/>
      </w:r>
      <w:r>
        <w:rPr>
          <w:sz w:val="16"/>
          <w:szCs w:val="16"/>
        </w:rPr>
        <w:tab/>
      </w:r>
      <w:r>
        <w:rPr>
          <w:sz w:val="16"/>
          <w:szCs w:val="16"/>
        </w:rPr>
        <w:tab/>
      </w:r>
      <w:r>
        <w:rPr>
          <w:sz w:val="16"/>
          <w:szCs w:val="16"/>
        </w:rPr>
        <w:tab/>
      </w:r>
      <w:r w:rsidRPr="00DE0CB7">
        <w:rPr>
          <w:b/>
          <w:bCs/>
          <w:sz w:val="16"/>
          <w:szCs w:val="16"/>
          <w:lang w:val="es-PY"/>
        </w:rPr>
        <w:t>HDB</w:t>
      </w:r>
      <w:r w:rsidRPr="00DE0CB7">
        <w:rPr>
          <w:sz w:val="16"/>
          <w:szCs w:val="16"/>
          <w:lang w:val="es-PY"/>
        </w:rPr>
        <w:t>: Hospital Distrital Básico</w:t>
      </w:r>
    </w:p>
    <w:p w14:paraId="533E64FB" w14:textId="772479C7" w:rsidR="00DE0CB7" w:rsidRPr="00DE0CB7" w:rsidRDefault="00DE0CB7" w:rsidP="00DE0CB7">
      <w:pPr>
        <w:pStyle w:val="Prrafodelista"/>
        <w:spacing w:after="0"/>
        <w:ind w:left="864"/>
        <w:rPr>
          <w:sz w:val="16"/>
          <w:szCs w:val="16"/>
          <w:lang w:val="es-PY"/>
        </w:rPr>
      </w:pPr>
      <w:r w:rsidRPr="00DE0CB7">
        <w:rPr>
          <w:b/>
          <w:bCs/>
          <w:sz w:val="16"/>
          <w:szCs w:val="16"/>
        </w:rPr>
        <w:t>CE:</w:t>
      </w:r>
      <w:r w:rsidRPr="00DE0CB7">
        <w:rPr>
          <w:sz w:val="16"/>
          <w:szCs w:val="16"/>
        </w:rPr>
        <w:t xml:space="preserve"> Centro Especializado</w:t>
      </w:r>
      <w:r>
        <w:rPr>
          <w:sz w:val="16"/>
          <w:szCs w:val="16"/>
        </w:rPr>
        <w:tab/>
      </w:r>
      <w:r>
        <w:rPr>
          <w:sz w:val="16"/>
          <w:szCs w:val="16"/>
        </w:rPr>
        <w:tab/>
      </w:r>
      <w:r>
        <w:rPr>
          <w:sz w:val="16"/>
          <w:szCs w:val="16"/>
        </w:rPr>
        <w:tab/>
      </w:r>
      <w:r w:rsidRPr="00DE0CB7">
        <w:rPr>
          <w:b/>
          <w:bCs/>
          <w:sz w:val="16"/>
          <w:szCs w:val="16"/>
          <w:lang w:val="es-PY"/>
        </w:rPr>
        <w:t xml:space="preserve">CS: </w:t>
      </w:r>
      <w:r w:rsidRPr="00DE0CB7">
        <w:rPr>
          <w:sz w:val="16"/>
          <w:szCs w:val="16"/>
          <w:lang w:val="es-PY"/>
        </w:rPr>
        <w:t>Centro de Salud</w:t>
      </w:r>
    </w:p>
    <w:p w14:paraId="1B309B5C" w14:textId="143F8B68" w:rsidR="00DE0CB7" w:rsidRPr="00DE0CB7" w:rsidRDefault="00DE0CB7" w:rsidP="00DE0CB7">
      <w:pPr>
        <w:pStyle w:val="Prrafodelista"/>
        <w:spacing w:after="0"/>
        <w:ind w:left="864"/>
        <w:rPr>
          <w:sz w:val="16"/>
          <w:szCs w:val="16"/>
          <w:lang w:val="es-PY"/>
        </w:rPr>
      </w:pPr>
      <w:r w:rsidRPr="00DE0CB7">
        <w:rPr>
          <w:b/>
          <w:bCs/>
          <w:sz w:val="16"/>
          <w:szCs w:val="16"/>
        </w:rPr>
        <w:t>LABO:</w:t>
      </w:r>
      <w:r w:rsidRPr="00DE0CB7">
        <w:rPr>
          <w:sz w:val="16"/>
          <w:szCs w:val="16"/>
        </w:rPr>
        <w:t xml:space="preserve"> Laboratorios</w:t>
      </w:r>
      <w:r>
        <w:rPr>
          <w:sz w:val="16"/>
          <w:szCs w:val="16"/>
        </w:rPr>
        <w:tab/>
      </w:r>
      <w:r>
        <w:rPr>
          <w:sz w:val="16"/>
          <w:szCs w:val="16"/>
        </w:rPr>
        <w:tab/>
      </w:r>
      <w:r>
        <w:rPr>
          <w:sz w:val="16"/>
          <w:szCs w:val="16"/>
        </w:rPr>
        <w:tab/>
      </w:r>
      <w:r w:rsidRPr="00DE0CB7">
        <w:rPr>
          <w:b/>
          <w:bCs/>
          <w:sz w:val="16"/>
          <w:szCs w:val="16"/>
          <w:lang w:val="es-PY"/>
        </w:rPr>
        <w:t xml:space="preserve">PS: </w:t>
      </w:r>
      <w:r w:rsidRPr="00DE0CB7">
        <w:rPr>
          <w:sz w:val="16"/>
          <w:szCs w:val="16"/>
          <w:lang w:val="es-PY"/>
        </w:rPr>
        <w:t>Puesto de Salud</w:t>
      </w:r>
    </w:p>
    <w:p w14:paraId="2B27E4B5" w14:textId="64D3DA2A" w:rsidR="00DE0CB7" w:rsidRPr="00DE0CB7" w:rsidRDefault="00DE0CB7" w:rsidP="00DE0CB7">
      <w:pPr>
        <w:pStyle w:val="Prrafodelista"/>
        <w:spacing w:after="0"/>
        <w:ind w:left="864"/>
        <w:rPr>
          <w:sz w:val="16"/>
          <w:szCs w:val="16"/>
          <w:lang w:val="es-PY"/>
        </w:rPr>
      </w:pPr>
      <w:r w:rsidRPr="00DE0CB7">
        <w:rPr>
          <w:b/>
          <w:bCs/>
          <w:sz w:val="16"/>
          <w:szCs w:val="16"/>
        </w:rPr>
        <w:t>USF:</w:t>
      </w:r>
      <w:r w:rsidRPr="00DE0CB7">
        <w:rPr>
          <w:sz w:val="16"/>
          <w:szCs w:val="16"/>
        </w:rPr>
        <w:t xml:space="preserve"> Unidad de Salud de la Familia</w:t>
      </w:r>
      <w:r>
        <w:rPr>
          <w:sz w:val="16"/>
          <w:szCs w:val="16"/>
        </w:rPr>
        <w:tab/>
      </w:r>
      <w:r>
        <w:rPr>
          <w:sz w:val="16"/>
          <w:szCs w:val="16"/>
        </w:rPr>
        <w:tab/>
      </w:r>
      <w:r w:rsidRPr="00DE0CB7">
        <w:rPr>
          <w:b/>
          <w:bCs/>
          <w:sz w:val="16"/>
          <w:szCs w:val="16"/>
          <w:lang w:val="es-PY"/>
        </w:rPr>
        <w:t xml:space="preserve">DISP.: </w:t>
      </w:r>
      <w:r w:rsidRPr="00DE0CB7">
        <w:rPr>
          <w:sz w:val="16"/>
          <w:szCs w:val="16"/>
          <w:lang w:val="es-PY"/>
        </w:rPr>
        <w:t>Dispensario</w:t>
      </w:r>
    </w:p>
    <w:p w14:paraId="6BE98047" w14:textId="347DC61A" w:rsidR="00DE0CB7" w:rsidRPr="00DE0CB7" w:rsidRDefault="00DE0CB7" w:rsidP="00DE0CB7">
      <w:pPr>
        <w:pStyle w:val="Prrafodelista"/>
        <w:ind w:left="864"/>
        <w:rPr>
          <w:sz w:val="16"/>
          <w:szCs w:val="16"/>
          <w:lang w:val="es-PY"/>
        </w:rPr>
      </w:pPr>
    </w:p>
    <w:p w14:paraId="7D6AEBDF" w14:textId="32C4D3EB" w:rsidR="00DE0CB7" w:rsidRPr="00DE0CB7" w:rsidRDefault="00DE0CB7" w:rsidP="00DE0CB7">
      <w:pPr>
        <w:pStyle w:val="Prrafodelista"/>
        <w:ind w:left="864"/>
        <w:rPr>
          <w:sz w:val="16"/>
          <w:szCs w:val="16"/>
          <w:lang w:val="es-PY"/>
        </w:rPr>
      </w:pPr>
    </w:p>
    <w:p w14:paraId="2EC67E25" w14:textId="1BB4C2C8" w:rsidR="00DE0CB7" w:rsidRPr="00DE0CB7" w:rsidRDefault="00DE0CB7" w:rsidP="00DE0CB7">
      <w:pPr>
        <w:pStyle w:val="Prrafodelista"/>
        <w:ind w:left="864"/>
        <w:rPr>
          <w:sz w:val="16"/>
          <w:szCs w:val="16"/>
          <w:lang w:val="es-PY"/>
        </w:rPr>
      </w:pPr>
    </w:p>
    <w:p w14:paraId="6ADB90FB" w14:textId="7CB4E464" w:rsidR="00DE0CB7" w:rsidRPr="00DE0CB7" w:rsidRDefault="00DE0CB7" w:rsidP="00DE0CB7">
      <w:pPr>
        <w:pStyle w:val="Prrafodelista"/>
        <w:ind w:left="864"/>
        <w:rPr>
          <w:sz w:val="16"/>
          <w:szCs w:val="16"/>
          <w:lang w:val="es-PY"/>
        </w:rPr>
      </w:pPr>
    </w:p>
    <w:p w14:paraId="42F63256" w14:textId="15296866" w:rsidR="00DE0CB7" w:rsidRPr="00DE0CB7" w:rsidRDefault="00DE0CB7" w:rsidP="00DE0CB7">
      <w:pPr>
        <w:pStyle w:val="Prrafodelista"/>
        <w:ind w:left="864"/>
        <w:rPr>
          <w:sz w:val="16"/>
          <w:szCs w:val="16"/>
          <w:lang w:val="es-PY"/>
        </w:rPr>
      </w:pPr>
    </w:p>
    <w:p w14:paraId="4DF4CA81" w14:textId="2BD48AFF" w:rsidR="00DE0CB7" w:rsidRPr="00DE0CB7" w:rsidRDefault="00DE0CB7" w:rsidP="00DE0CB7">
      <w:pPr>
        <w:pStyle w:val="Prrafodelista"/>
        <w:ind w:left="864"/>
        <w:rPr>
          <w:sz w:val="16"/>
          <w:szCs w:val="16"/>
          <w:lang w:val="es-PY"/>
        </w:rPr>
      </w:pPr>
    </w:p>
    <w:p w14:paraId="0CD8435A" w14:textId="62EAF877" w:rsidR="00DE0CB7" w:rsidRPr="00DE0CB7" w:rsidRDefault="00DE0CB7" w:rsidP="00DE0CB7">
      <w:pPr>
        <w:pStyle w:val="Prrafodelista"/>
        <w:ind w:left="864"/>
        <w:rPr>
          <w:sz w:val="16"/>
          <w:szCs w:val="16"/>
          <w:lang w:val="es-PY"/>
        </w:rPr>
      </w:pPr>
    </w:p>
    <w:p w14:paraId="5B0F6B84" w14:textId="519A376C" w:rsidR="00DE0CB7" w:rsidRDefault="00DE0CB7" w:rsidP="00DE0CB7">
      <w:pPr>
        <w:pStyle w:val="Prrafodelista"/>
        <w:spacing w:after="0"/>
        <w:ind w:left="864"/>
        <w:rPr>
          <w:rFonts w:ascii="Times New Roman" w:eastAsiaTheme="minorHAnsi" w:hAnsi="Times New Roman"/>
          <w:sz w:val="16"/>
          <w:szCs w:val="16"/>
        </w:rPr>
      </w:pPr>
    </w:p>
    <w:p w14:paraId="1A9FC2A1" w14:textId="77777777" w:rsidR="00D118B5" w:rsidRDefault="00D118B5" w:rsidP="00DE0CB7">
      <w:pPr>
        <w:pStyle w:val="Prrafodelista"/>
        <w:spacing w:after="0"/>
        <w:ind w:left="864"/>
        <w:rPr>
          <w:rFonts w:ascii="Times New Roman" w:eastAsiaTheme="minorHAnsi" w:hAnsi="Times New Roman"/>
          <w:sz w:val="16"/>
          <w:szCs w:val="16"/>
        </w:rPr>
      </w:pPr>
    </w:p>
    <w:p w14:paraId="08F212DC" w14:textId="77777777" w:rsidR="00D118B5" w:rsidRDefault="00D118B5" w:rsidP="00DE0CB7">
      <w:pPr>
        <w:pStyle w:val="Prrafodelista"/>
        <w:spacing w:after="0"/>
        <w:ind w:left="864"/>
        <w:rPr>
          <w:rFonts w:ascii="Times New Roman" w:eastAsiaTheme="minorHAnsi" w:hAnsi="Times New Roman"/>
          <w:sz w:val="16"/>
          <w:szCs w:val="16"/>
        </w:rPr>
      </w:pPr>
    </w:p>
    <w:p w14:paraId="490FB3D6" w14:textId="77777777" w:rsidR="00D118B5" w:rsidRDefault="00D118B5" w:rsidP="00DE0CB7">
      <w:pPr>
        <w:pStyle w:val="Prrafodelista"/>
        <w:spacing w:after="0"/>
        <w:ind w:left="864"/>
        <w:rPr>
          <w:rFonts w:ascii="Times New Roman" w:eastAsiaTheme="minorHAnsi" w:hAnsi="Times New Roman"/>
          <w:sz w:val="16"/>
          <w:szCs w:val="16"/>
        </w:rPr>
      </w:pPr>
    </w:p>
    <w:p w14:paraId="3BF67C12" w14:textId="77777777" w:rsidR="00D118B5" w:rsidRDefault="00D118B5" w:rsidP="00DE0CB7">
      <w:pPr>
        <w:pStyle w:val="Prrafodelista"/>
        <w:spacing w:after="0"/>
        <w:ind w:left="864"/>
        <w:rPr>
          <w:rFonts w:ascii="Times New Roman" w:eastAsiaTheme="minorHAnsi" w:hAnsi="Times New Roman"/>
          <w:sz w:val="16"/>
          <w:szCs w:val="16"/>
        </w:rPr>
      </w:pPr>
    </w:p>
    <w:p w14:paraId="28B0483F" w14:textId="77777777" w:rsidR="00D118B5" w:rsidRPr="00DE0CB7" w:rsidRDefault="00D118B5" w:rsidP="00DE0CB7">
      <w:pPr>
        <w:pStyle w:val="Prrafodelista"/>
        <w:spacing w:after="0"/>
        <w:ind w:left="864"/>
        <w:rPr>
          <w:rFonts w:ascii="Times New Roman" w:eastAsiaTheme="minorHAnsi" w:hAnsi="Times New Roman"/>
          <w:sz w:val="16"/>
          <w:szCs w:val="16"/>
        </w:rPr>
      </w:pPr>
    </w:p>
    <w:p w14:paraId="0ED04070" w14:textId="77777777" w:rsidR="00FA3782" w:rsidRDefault="00FA3782" w:rsidP="00FA3782">
      <w:pPr>
        <w:pStyle w:val="Ttulo4"/>
        <w:numPr>
          <w:ilvl w:val="0"/>
          <w:numId w:val="10"/>
        </w:numPr>
        <w:jc w:val="both"/>
        <w:rPr>
          <w:rFonts w:ascii="Times New Roman" w:hAnsi="Times New Roman" w:cs="Times New Roman"/>
          <w:i w:val="0"/>
          <w:color w:val="00529C"/>
          <w:sz w:val="24"/>
        </w:rPr>
      </w:pPr>
      <w:bookmarkStart w:id="743" w:name="_Toc402357593"/>
      <w:bookmarkStart w:id="744" w:name="_Toc25043087"/>
      <w:bookmarkStart w:id="745" w:name="_Toc220402591"/>
      <w:r w:rsidRPr="00D118B5">
        <w:rPr>
          <w:rFonts w:ascii="Times New Roman" w:hAnsi="Times New Roman" w:cs="Times New Roman"/>
          <w:i w:val="0"/>
          <w:color w:val="00529C"/>
          <w:sz w:val="24"/>
        </w:rPr>
        <w:t>Compras con el Fondo Nacional de Inversión Pública y Desarrollo – FONACIDE</w:t>
      </w:r>
      <w:bookmarkEnd w:id="743"/>
      <w:bookmarkEnd w:id="744"/>
      <w:bookmarkEnd w:id="745"/>
      <w:r w:rsidRPr="00D118B5">
        <w:rPr>
          <w:rFonts w:ascii="Times New Roman" w:hAnsi="Times New Roman" w:cs="Times New Roman"/>
          <w:i w:val="0"/>
          <w:color w:val="00529C"/>
          <w:sz w:val="24"/>
        </w:rPr>
        <w:t xml:space="preserve"> </w:t>
      </w:r>
    </w:p>
    <w:p w14:paraId="7B0AD0C7" w14:textId="77777777" w:rsidR="00D118B5" w:rsidRPr="00D118B5" w:rsidRDefault="00D118B5" w:rsidP="00D118B5"/>
    <w:p w14:paraId="6644B019" w14:textId="54D58645" w:rsidR="00423960" w:rsidRDefault="00D118B5" w:rsidP="00D71B46">
      <w:pPr>
        <w:pStyle w:val="Prrafodelista"/>
        <w:ind w:left="864"/>
        <w:rPr>
          <w:rFonts w:ascii="Times New Roman" w:eastAsiaTheme="majorEastAsia" w:hAnsi="Times New Roman"/>
          <w:b/>
          <w:bCs/>
          <w:i/>
          <w:iCs/>
          <w:color w:val="002467"/>
          <w:sz w:val="24"/>
        </w:rPr>
      </w:pPr>
      <w:r w:rsidRPr="00D118B5">
        <w:rPr>
          <w:rFonts w:eastAsiaTheme="majorEastAsia"/>
        </w:rPr>
        <w:drawing>
          <wp:inline distT="0" distB="0" distL="0" distR="0" wp14:anchorId="704F5395" wp14:editId="0E7EF847">
            <wp:extent cx="5724525" cy="4124325"/>
            <wp:effectExtent l="0" t="0" r="9525" b="9525"/>
            <wp:docPr id="25762134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4124325"/>
                    </a:xfrm>
                    <a:prstGeom prst="rect">
                      <a:avLst/>
                    </a:prstGeom>
                    <a:noFill/>
                    <a:ln>
                      <a:noFill/>
                    </a:ln>
                  </pic:spPr>
                </pic:pic>
              </a:graphicData>
            </a:graphic>
          </wp:inline>
        </w:drawing>
      </w:r>
    </w:p>
    <w:p w14:paraId="34684087" w14:textId="046517E3" w:rsidR="00D118B5" w:rsidRPr="002B344D" w:rsidRDefault="00D118B5" w:rsidP="00D118B5">
      <w:pPr>
        <w:spacing w:after="0" w:line="240" w:lineRule="auto"/>
        <w:ind w:left="426" w:firstLine="426"/>
        <w:rPr>
          <w:sz w:val="16"/>
          <w:szCs w:val="16"/>
        </w:rPr>
      </w:pPr>
      <w:r w:rsidRPr="002B344D">
        <w:rPr>
          <w:b/>
          <w:sz w:val="16"/>
          <w:szCs w:val="16"/>
        </w:rPr>
        <w:t>Observación:</w:t>
      </w:r>
      <w:r w:rsidRPr="002B344D">
        <w:rPr>
          <w:sz w:val="16"/>
          <w:szCs w:val="16"/>
        </w:rPr>
        <w:t xml:space="preserve"> Solo se detallan los recursos que cuentan con Ejecución Financiera.</w:t>
      </w:r>
    </w:p>
    <w:p w14:paraId="5A94A0E3" w14:textId="355223F3" w:rsidR="005A31CA" w:rsidRDefault="00D118B5" w:rsidP="00D118B5">
      <w:pPr>
        <w:spacing w:after="0" w:line="360" w:lineRule="auto"/>
        <w:ind w:left="1276" w:hanging="482"/>
        <w:jc w:val="both"/>
        <w:rPr>
          <w:rFonts w:eastAsiaTheme="majorEastAsia"/>
          <w:b/>
          <w:bCs/>
          <w:i/>
          <w:iCs/>
          <w:color w:val="002467"/>
          <w:sz w:val="24"/>
        </w:rPr>
      </w:pPr>
      <w:r>
        <w:rPr>
          <w:b/>
          <w:sz w:val="16"/>
          <w:szCs w:val="16"/>
        </w:rPr>
        <w:t xml:space="preserve"> </w:t>
      </w:r>
      <w:r w:rsidRPr="002B344D">
        <w:rPr>
          <w:b/>
          <w:sz w:val="16"/>
          <w:szCs w:val="16"/>
        </w:rPr>
        <w:t>Fuentes:</w:t>
      </w:r>
      <w:r w:rsidRPr="002B344D">
        <w:rPr>
          <w:sz w:val="16"/>
          <w:szCs w:val="16"/>
        </w:rPr>
        <w:t xml:space="preserve">  DGAF/ Reporte CRLEJE03 Sistema SICO - Consolidación D.C.E.P.</w:t>
      </w:r>
    </w:p>
    <w:p w14:paraId="2829F06A" w14:textId="77777777" w:rsidR="005A31CA" w:rsidRDefault="005A31CA">
      <w:pPr>
        <w:spacing w:after="0" w:line="360" w:lineRule="auto"/>
        <w:ind w:left="1276" w:hanging="482"/>
        <w:jc w:val="both"/>
        <w:rPr>
          <w:rFonts w:eastAsiaTheme="majorEastAsia"/>
          <w:b/>
          <w:bCs/>
          <w:i/>
          <w:iCs/>
          <w:color w:val="002467"/>
          <w:sz w:val="24"/>
        </w:rPr>
      </w:pPr>
    </w:p>
    <w:p w14:paraId="4764C5F2" w14:textId="77777777" w:rsidR="005A31CA" w:rsidRDefault="005A31CA">
      <w:pPr>
        <w:spacing w:after="0" w:line="360" w:lineRule="auto"/>
        <w:ind w:left="1276" w:hanging="482"/>
        <w:jc w:val="both"/>
        <w:rPr>
          <w:rFonts w:eastAsiaTheme="majorEastAsia"/>
          <w:b/>
          <w:bCs/>
          <w:i/>
          <w:iCs/>
          <w:color w:val="002467"/>
          <w:sz w:val="24"/>
        </w:rPr>
      </w:pPr>
    </w:p>
    <w:p w14:paraId="32948E2B" w14:textId="77777777" w:rsidR="005A31CA" w:rsidRDefault="005A31CA">
      <w:pPr>
        <w:spacing w:after="0" w:line="360" w:lineRule="auto"/>
        <w:ind w:left="1276" w:hanging="482"/>
        <w:jc w:val="both"/>
        <w:rPr>
          <w:rFonts w:eastAsiaTheme="majorEastAsia"/>
          <w:b/>
          <w:bCs/>
          <w:i/>
          <w:iCs/>
          <w:color w:val="002467"/>
          <w:sz w:val="24"/>
        </w:rPr>
      </w:pPr>
    </w:p>
    <w:p w14:paraId="232C91A5" w14:textId="77777777" w:rsidR="005A31CA" w:rsidRDefault="005A31CA">
      <w:pPr>
        <w:spacing w:after="0" w:line="360" w:lineRule="auto"/>
        <w:ind w:left="1276" w:hanging="482"/>
        <w:jc w:val="both"/>
        <w:rPr>
          <w:rFonts w:eastAsiaTheme="majorEastAsia"/>
          <w:b/>
          <w:bCs/>
          <w:i/>
          <w:iCs/>
          <w:color w:val="002467"/>
          <w:sz w:val="24"/>
        </w:rPr>
      </w:pPr>
    </w:p>
    <w:p w14:paraId="3C5570DE" w14:textId="77777777" w:rsidR="005A31CA" w:rsidRDefault="005A31CA">
      <w:pPr>
        <w:spacing w:after="0" w:line="360" w:lineRule="auto"/>
        <w:ind w:left="1276" w:hanging="482"/>
        <w:jc w:val="both"/>
        <w:rPr>
          <w:rFonts w:eastAsiaTheme="majorEastAsia"/>
          <w:b/>
          <w:bCs/>
          <w:i/>
          <w:iCs/>
          <w:color w:val="002467"/>
          <w:sz w:val="24"/>
        </w:rPr>
      </w:pPr>
    </w:p>
    <w:p w14:paraId="56196315" w14:textId="77777777" w:rsidR="005A31CA" w:rsidRDefault="005A31CA">
      <w:pPr>
        <w:spacing w:after="0" w:line="360" w:lineRule="auto"/>
        <w:ind w:left="1276" w:hanging="482"/>
        <w:jc w:val="both"/>
        <w:rPr>
          <w:rFonts w:eastAsiaTheme="majorEastAsia"/>
          <w:b/>
          <w:bCs/>
          <w:i/>
          <w:iCs/>
          <w:color w:val="002467"/>
          <w:sz w:val="24"/>
        </w:rPr>
      </w:pPr>
    </w:p>
    <w:p w14:paraId="04BCEC0C" w14:textId="77777777" w:rsidR="005A31CA" w:rsidRDefault="005A31CA">
      <w:pPr>
        <w:spacing w:after="0" w:line="360" w:lineRule="auto"/>
        <w:ind w:left="1276" w:hanging="482"/>
        <w:jc w:val="both"/>
        <w:rPr>
          <w:rFonts w:eastAsiaTheme="majorEastAsia"/>
          <w:b/>
          <w:bCs/>
          <w:i/>
          <w:iCs/>
          <w:color w:val="002467"/>
          <w:sz w:val="24"/>
        </w:rPr>
      </w:pPr>
    </w:p>
    <w:p w14:paraId="5ABFEABA" w14:textId="77777777" w:rsidR="005A31CA" w:rsidRDefault="005A31CA">
      <w:pPr>
        <w:spacing w:after="0" w:line="360" w:lineRule="auto"/>
        <w:ind w:left="1276" w:hanging="482"/>
        <w:jc w:val="both"/>
        <w:rPr>
          <w:rFonts w:eastAsiaTheme="majorEastAsia"/>
          <w:b/>
          <w:bCs/>
          <w:i/>
          <w:iCs/>
          <w:color w:val="002467"/>
          <w:sz w:val="24"/>
        </w:rPr>
      </w:pPr>
    </w:p>
    <w:p w14:paraId="0BDCB0AA" w14:textId="77777777" w:rsidR="005A31CA" w:rsidRDefault="005A31CA">
      <w:pPr>
        <w:spacing w:after="0" w:line="360" w:lineRule="auto"/>
        <w:ind w:left="1276" w:hanging="482"/>
        <w:jc w:val="both"/>
        <w:rPr>
          <w:rFonts w:eastAsiaTheme="majorEastAsia"/>
          <w:b/>
          <w:bCs/>
          <w:i/>
          <w:iCs/>
          <w:color w:val="002467"/>
          <w:sz w:val="24"/>
        </w:rPr>
      </w:pPr>
    </w:p>
    <w:p w14:paraId="30375FB6" w14:textId="77777777" w:rsidR="005A31CA" w:rsidRDefault="005A31CA">
      <w:pPr>
        <w:spacing w:after="0" w:line="360" w:lineRule="auto"/>
        <w:ind w:left="1276" w:hanging="482"/>
        <w:jc w:val="both"/>
        <w:rPr>
          <w:rFonts w:eastAsiaTheme="majorEastAsia"/>
          <w:b/>
          <w:bCs/>
          <w:i/>
          <w:iCs/>
          <w:color w:val="002467"/>
          <w:sz w:val="24"/>
        </w:rPr>
      </w:pPr>
    </w:p>
    <w:p w14:paraId="7578FBD6" w14:textId="0E995E98" w:rsidR="009718A7" w:rsidRPr="009718A7" w:rsidRDefault="001241CF" w:rsidP="001241CF">
      <w:pPr>
        <w:pStyle w:val="Ttulo1"/>
        <w:spacing w:before="120" w:line="240" w:lineRule="auto"/>
        <w:jc w:val="both"/>
        <w:rPr>
          <w:rFonts w:ascii="Times New Roman" w:hAnsi="Times New Roman" w:cs="Times New Roman"/>
          <w:color w:val="00529C"/>
          <w:sz w:val="24"/>
          <w:szCs w:val="24"/>
          <w:lang w:val="es-PY"/>
        </w:rPr>
      </w:pPr>
      <w:bookmarkStart w:id="746" w:name="_Toc183080441"/>
      <w:bookmarkStart w:id="747" w:name="_Toc117239190"/>
      <w:bookmarkStart w:id="748" w:name="_Toc220402592"/>
      <w:r>
        <w:rPr>
          <w:rFonts w:ascii="Times New Roman" w:hAnsi="Times New Roman" w:cs="Times New Roman"/>
          <w:color w:val="00529C"/>
          <w:sz w:val="24"/>
          <w:szCs w:val="24"/>
          <w:lang w:val="es-PY"/>
        </w:rPr>
        <w:t xml:space="preserve">III </w:t>
      </w:r>
      <w:r w:rsidR="009718A7" w:rsidRPr="009718A7">
        <w:rPr>
          <w:rFonts w:ascii="Times New Roman" w:hAnsi="Times New Roman" w:cs="Times New Roman"/>
          <w:color w:val="00529C"/>
          <w:sz w:val="24"/>
          <w:szCs w:val="24"/>
          <w:lang w:val="es-PY"/>
        </w:rPr>
        <w:t>DESAFIO FUTURO Y SEGUIMIENTO</w:t>
      </w:r>
      <w:bookmarkEnd w:id="746"/>
      <w:bookmarkEnd w:id="748"/>
    </w:p>
    <w:p w14:paraId="3D62375B" w14:textId="77777777" w:rsidR="009718A7" w:rsidRPr="009718A7" w:rsidRDefault="009718A7" w:rsidP="009718A7">
      <w:pPr>
        <w:pStyle w:val="Ttulo4"/>
        <w:rPr>
          <w:rFonts w:ascii="Times New Roman" w:hAnsi="Times New Roman" w:cs="Times New Roman"/>
          <w:color w:val="auto"/>
          <w:sz w:val="24"/>
        </w:rPr>
      </w:pPr>
      <w:bookmarkStart w:id="749" w:name="_Toc183080442"/>
      <w:bookmarkStart w:id="750" w:name="_Toc220402593"/>
      <w:r w:rsidRPr="009718A7">
        <w:rPr>
          <w:rFonts w:ascii="Times New Roman" w:hAnsi="Times New Roman" w:cs="Times New Roman"/>
          <w:color w:val="00529C"/>
          <w:sz w:val="24"/>
        </w:rPr>
        <w:t>III.1 DESAFIO FUTURO</w:t>
      </w:r>
      <w:bookmarkEnd w:id="749"/>
      <w:bookmarkEnd w:id="750"/>
      <w:r w:rsidRPr="009718A7">
        <w:rPr>
          <w:rFonts w:ascii="Times New Roman" w:hAnsi="Times New Roman" w:cs="Times New Roman"/>
          <w:color w:val="00529C"/>
          <w:sz w:val="24"/>
        </w:rPr>
        <w:t xml:space="preserve"> </w:t>
      </w:r>
    </w:p>
    <w:p w14:paraId="196D5F91" w14:textId="77777777" w:rsidR="00FC22A8" w:rsidRPr="00DF12B5" w:rsidRDefault="00FC22A8" w:rsidP="00FC22A8">
      <w:pPr>
        <w:spacing w:before="120" w:after="0" w:line="240" w:lineRule="auto"/>
        <w:jc w:val="both"/>
        <w:rPr>
          <w:b/>
          <w:bCs/>
        </w:rPr>
      </w:pPr>
      <w:bookmarkStart w:id="751" w:name="_Toc183080443"/>
      <w:r w:rsidRPr="00DF12B5">
        <w:rPr>
          <w:b/>
          <w:bCs/>
        </w:rPr>
        <w:t>ATENCIÓN PRIMARIA DE SALUD</w:t>
      </w:r>
    </w:p>
    <w:p w14:paraId="13F7F161" w14:textId="77777777" w:rsidR="00FC22A8" w:rsidRPr="00552E88" w:rsidRDefault="00FC22A8" w:rsidP="00FC22A8">
      <w:pPr>
        <w:numPr>
          <w:ilvl w:val="0"/>
          <w:numId w:val="21"/>
        </w:numPr>
        <w:tabs>
          <w:tab w:val="num" w:pos="285"/>
          <w:tab w:val="num" w:pos="1133"/>
        </w:tabs>
        <w:spacing w:after="0" w:line="240" w:lineRule="auto"/>
        <w:ind w:left="0" w:firstLine="0"/>
        <w:jc w:val="both"/>
        <w:rPr>
          <w:rFonts w:eastAsia="Times New Roman"/>
          <w:szCs w:val="20"/>
          <w:lang w:val="es-PY" w:eastAsia="es-PY"/>
        </w:rPr>
      </w:pPr>
      <w:r w:rsidRPr="00552E88">
        <w:rPr>
          <w:rFonts w:eastAsia="Times New Roman"/>
          <w:szCs w:val="20"/>
          <w:lang w:val="es-PY" w:eastAsia="es-PY"/>
        </w:rPr>
        <w:t>Priorizar la culminación de las USF pendientes del ejercicio anterior, a fin de alcanzar la meta programada.</w:t>
      </w:r>
    </w:p>
    <w:p w14:paraId="29F3D674" w14:textId="77777777" w:rsidR="00FC22A8" w:rsidRPr="00552E88" w:rsidRDefault="00FC22A8" w:rsidP="00FC22A8">
      <w:pPr>
        <w:numPr>
          <w:ilvl w:val="0"/>
          <w:numId w:val="21"/>
        </w:numPr>
        <w:tabs>
          <w:tab w:val="num" w:pos="285"/>
          <w:tab w:val="num" w:pos="1133"/>
        </w:tabs>
        <w:spacing w:after="0" w:line="240" w:lineRule="auto"/>
        <w:ind w:left="0" w:firstLine="0"/>
        <w:jc w:val="both"/>
        <w:rPr>
          <w:rFonts w:eastAsia="Times New Roman"/>
          <w:szCs w:val="20"/>
          <w:lang w:val="es-PY" w:eastAsia="es-PY"/>
        </w:rPr>
      </w:pPr>
      <w:r w:rsidRPr="00552E88">
        <w:rPr>
          <w:rFonts w:eastAsia="Times New Roman"/>
          <w:szCs w:val="20"/>
          <w:lang w:val="es-PY" w:eastAsia="es-PY"/>
        </w:rPr>
        <w:t>Finalizar las refacciones pendientes por proyecto BM, BID y otras fuentes de financiamiento.</w:t>
      </w:r>
    </w:p>
    <w:p w14:paraId="0A76ED2C" w14:textId="77777777" w:rsidR="00FC22A8" w:rsidRPr="00552E88" w:rsidRDefault="00FC22A8" w:rsidP="00FC22A8">
      <w:pPr>
        <w:numPr>
          <w:ilvl w:val="0"/>
          <w:numId w:val="21"/>
        </w:numPr>
        <w:tabs>
          <w:tab w:val="num" w:pos="285"/>
          <w:tab w:val="num" w:pos="1133"/>
        </w:tabs>
        <w:spacing w:after="0" w:line="240" w:lineRule="auto"/>
        <w:ind w:left="0" w:firstLine="0"/>
        <w:jc w:val="both"/>
        <w:rPr>
          <w:rFonts w:eastAsia="Times New Roman"/>
          <w:szCs w:val="20"/>
          <w:lang w:val="es-PY" w:eastAsia="es-PY"/>
        </w:rPr>
      </w:pPr>
      <w:r w:rsidRPr="00552E88">
        <w:rPr>
          <w:rFonts w:eastAsia="Times New Roman"/>
          <w:szCs w:val="20"/>
          <w:lang w:val="es-PY" w:eastAsia="es-PY"/>
        </w:rPr>
        <w:t>Ajustar los procesos de gestión para asegurar que las USF alcance el ritmo de la dotación de equipos, garantizando así el acceso a toda población de los territorios sociales de las USF.</w:t>
      </w:r>
    </w:p>
    <w:p w14:paraId="0F7559F9" w14:textId="77777777" w:rsidR="00FC22A8" w:rsidRDefault="00FC22A8" w:rsidP="00FC22A8">
      <w:pPr>
        <w:numPr>
          <w:ilvl w:val="0"/>
          <w:numId w:val="21"/>
        </w:numPr>
        <w:tabs>
          <w:tab w:val="num" w:pos="285"/>
          <w:tab w:val="num" w:pos="1133"/>
        </w:tabs>
        <w:spacing w:after="0" w:line="240" w:lineRule="auto"/>
        <w:ind w:left="0" w:firstLine="0"/>
        <w:jc w:val="both"/>
        <w:rPr>
          <w:rFonts w:eastAsia="Times New Roman"/>
          <w:szCs w:val="20"/>
          <w:lang w:val="es-PY" w:eastAsia="es-PY"/>
        </w:rPr>
      </w:pPr>
      <w:r w:rsidRPr="00552E88">
        <w:rPr>
          <w:rFonts w:eastAsia="Times New Roman"/>
          <w:szCs w:val="20"/>
          <w:lang w:val="es-PY" w:eastAsia="es-PY"/>
        </w:rPr>
        <w:t>Alcanzar una cobertura poblacional de más de 3,5 millones de personas.</w:t>
      </w:r>
    </w:p>
    <w:p w14:paraId="240966A6" w14:textId="77777777" w:rsidR="00FC22A8" w:rsidRDefault="00FC22A8" w:rsidP="00FC22A8">
      <w:pPr>
        <w:spacing w:after="0" w:line="240" w:lineRule="auto"/>
        <w:jc w:val="both"/>
        <w:rPr>
          <w:b/>
          <w:bCs/>
        </w:rPr>
      </w:pPr>
    </w:p>
    <w:p w14:paraId="17B3A2D5" w14:textId="77777777" w:rsidR="00FC22A8" w:rsidRPr="0068102C" w:rsidRDefault="00FC22A8" w:rsidP="00FC22A8">
      <w:pPr>
        <w:spacing w:after="0" w:line="240" w:lineRule="auto"/>
        <w:jc w:val="both"/>
        <w:rPr>
          <w:b/>
          <w:bCs/>
        </w:rPr>
      </w:pPr>
      <w:r>
        <w:rPr>
          <w:b/>
          <w:bCs/>
        </w:rPr>
        <w:t>UNIDADES</w:t>
      </w:r>
      <w:r w:rsidRPr="0068102C">
        <w:rPr>
          <w:b/>
          <w:bCs/>
        </w:rPr>
        <w:t xml:space="preserve"> DE TERAPIAS INTENSIVAS</w:t>
      </w:r>
    </w:p>
    <w:p w14:paraId="617A8584" w14:textId="77777777" w:rsidR="00FC22A8" w:rsidRPr="000F55D4" w:rsidRDefault="00FC22A8" w:rsidP="00FC22A8">
      <w:pPr>
        <w:spacing w:after="0" w:line="240" w:lineRule="auto"/>
        <w:jc w:val="both"/>
      </w:pPr>
      <w:r w:rsidRPr="000F55D4">
        <w:t>UTI habilitadas con funcionalidad completa: 76 (setenta y seis) llegando así al 100% de operatividad</w:t>
      </w:r>
    </w:p>
    <w:p w14:paraId="34610560" w14:textId="77777777" w:rsidR="00FC22A8" w:rsidRPr="000F55D4" w:rsidRDefault="00FC22A8" w:rsidP="00FC22A8">
      <w:pPr>
        <w:spacing w:after="0" w:line="240" w:lineRule="auto"/>
        <w:jc w:val="both"/>
      </w:pPr>
      <w:r w:rsidRPr="000F55D4">
        <w:t xml:space="preserve">Incorporar especialistas en cuidados críticos :25 (veinte y cinco) </w:t>
      </w:r>
    </w:p>
    <w:p w14:paraId="09180759" w14:textId="77777777" w:rsidR="00FC22A8" w:rsidRDefault="00FC22A8" w:rsidP="00FC22A8">
      <w:pPr>
        <w:spacing w:after="0" w:line="240" w:lineRule="auto"/>
        <w:jc w:val="both"/>
      </w:pPr>
      <w:r w:rsidRPr="000F55D4">
        <w:t>Monitorización en tiempo real de las UTI</w:t>
      </w:r>
    </w:p>
    <w:p w14:paraId="79DEA224" w14:textId="77777777" w:rsidR="00FC22A8" w:rsidRPr="000F55D4" w:rsidRDefault="00FC22A8" w:rsidP="00FC22A8">
      <w:pPr>
        <w:spacing w:after="0" w:line="240" w:lineRule="auto"/>
        <w:jc w:val="both"/>
      </w:pPr>
    </w:p>
    <w:p w14:paraId="6CFF43D9" w14:textId="77777777" w:rsidR="00FC22A8" w:rsidRDefault="00FC22A8" w:rsidP="00FC22A8">
      <w:pPr>
        <w:spacing w:after="0" w:line="240" w:lineRule="auto"/>
        <w:jc w:val="both"/>
        <w:rPr>
          <w:b/>
          <w:bCs/>
          <w:sz w:val="24"/>
          <w:szCs w:val="24"/>
        </w:rPr>
      </w:pPr>
      <w:r>
        <w:rPr>
          <w:b/>
          <w:bCs/>
          <w:sz w:val="24"/>
          <w:szCs w:val="24"/>
        </w:rPr>
        <w:t>AMBULANCIAS</w:t>
      </w:r>
    </w:p>
    <w:p w14:paraId="17DAD6F1" w14:textId="77777777" w:rsidR="00FC22A8" w:rsidRPr="00FB54A9" w:rsidRDefault="00FC22A8" w:rsidP="00FC22A8">
      <w:pPr>
        <w:spacing w:after="0" w:line="240" w:lineRule="auto"/>
        <w:jc w:val="both"/>
        <w:rPr>
          <w:szCs w:val="20"/>
        </w:rPr>
      </w:pPr>
      <w:r>
        <w:rPr>
          <w:szCs w:val="20"/>
        </w:rPr>
        <w:t xml:space="preserve">Se prevé el servicio de </w:t>
      </w:r>
      <w:r w:rsidRPr="00FB54A9">
        <w:rPr>
          <w:szCs w:val="20"/>
        </w:rPr>
        <w:t xml:space="preserve">mantenimiento </w:t>
      </w:r>
      <w:r>
        <w:rPr>
          <w:szCs w:val="20"/>
        </w:rPr>
        <w:t xml:space="preserve">periódico </w:t>
      </w:r>
      <w:r w:rsidRPr="00FB54A9">
        <w:rPr>
          <w:szCs w:val="20"/>
        </w:rPr>
        <w:t xml:space="preserve">de </w:t>
      </w:r>
      <w:r>
        <w:rPr>
          <w:szCs w:val="20"/>
        </w:rPr>
        <w:t>todas las ambulancias</w:t>
      </w:r>
      <w:r w:rsidRPr="00FB54A9">
        <w:rPr>
          <w:szCs w:val="20"/>
        </w:rPr>
        <w:t>. Además, de seguir contando con seguros contra todos riesgos para toda la flota de vehículos</w:t>
      </w:r>
    </w:p>
    <w:p w14:paraId="41749FD0" w14:textId="77777777" w:rsidR="00FC22A8" w:rsidRDefault="00FC22A8" w:rsidP="00FC22A8">
      <w:pPr>
        <w:spacing w:after="0" w:line="240" w:lineRule="auto"/>
        <w:jc w:val="both"/>
        <w:rPr>
          <w:b/>
          <w:bCs/>
          <w:sz w:val="24"/>
          <w:szCs w:val="24"/>
        </w:rPr>
      </w:pPr>
    </w:p>
    <w:p w14:paraId="3223B43F" w14:textId="77777777" w:rsidR="00FC22A8" w:rsidRDefault="00FC22A8" w:rsidP="00FC22A8">
      <w:pPr>
        <w:spacing w:after="0" w:line="240" w:lineRule="auto"/>
        <w:jc w:val="both"/>
        <w:rPr>
          <w:b/>
          <w:bCs/>
          <w:sz w:val="24"/>
          <w:szCs w:val="24"/>
        </w:rPr>
      </w:pPr>
      <w:r w:rsidRPr="008E429C">
        <w:rPr>
          <w:b/>
          <w:bCs/>
          <w:sz w:val="24"/>
          <w:szCs w:val="24"/>
        </w:rPr>
        <w:t xml:space="preserve">PROMOCIÓN DE LA SALUD </w:t>
      </w:r>
    </w:p>
    <w:p w14:paraId="1EC6ABE1" w14:textId="77777777" w:rsidR="00FC22A8" w:rsidRPr="008E429C" w:rsidRDefault="00FC22A8" w:rsidP="00FC22A8">
      <w:pPr>
        <w:spacing w:after="0" w:line="240" w:lineRule="auto"/>
        <w:jc w:val="both"/>
        <w:rPr>
          <w:b/>
          <w:bCs/>
          <w:sz w:val="24"/>
          <w:szCs w:val="24"/>
        </w:rPr>
      </w:pPr>
      <w:r>
        <w:rPr>
          <w:b/>
          <w:szCs w:val="20"/>
          <w:lang w:val="es-PY"/>
        </w:rPr>
        <w:t>Entorno saludable</w:t>
      </w:r>
    </w:p>
    <w:p w14:paraId="46BCAC28" w14:textId="77777777" w:rsidR="00FC22A8" w:rsidRPr="00062292" w:rsidRDefault="00FC22A8" w:rsidP="00FC22A8">
      <w:pPr>
        <w:tabs>
          <w:tab w:val="left" w:pos="567"/>
        </w:tabs>
        <w:spacing w:line="240" w:lineRule="auto"/>
        <w:contextualSpacing/>
        <w:jc w:val="both"/>
        <w:rPr>
          <w:szCs w:val="20"/>
        </w:rPr>
      </w:pPr>
      <w:r w:rsidRPr="00062292">
        <w:rPr>
          <w:szCs w:val="20"/>
        </w:rPr>
        <w:t>Seguir con la implementación de las estrategias de Promoción de la Salud: Municipio Saludable, Escuela Saludable y Centro Laboral Saludable, y lograr la sostenibilidad de las mismas en el tiempo.</w:t>
      </w:r>
    </w:p>
    <w:p w14:paraId="4F255711" w14:textId="77777777" w:rsidR="00FC22A8" w:rsidRDefault="00FC22A8" w:rsidP="00FC22A8">
      <w:pPr>
        <w:tabs>
          <w:tab w:val="left" w:pos="567"/>
        </w:tabs>
        <w:spacing w:line="240" w:lineRule="auto"/>
        <w:contextualSpacing/>
        <w:jc w:val="both"/>
        <w:rPr>
          <w:szCs w:val="20"/>
        </w:rPr>
      </w:pPr>
      <w:r w:rsidRPr="00062292">
        <w:rPr>
          <w:szCs w:val="20"/>
        </w:rPr>
        <w:t>Implementar el curso virtual de Promoción de la Salud y llegar con la capacitación al público interno y externo.</w:t>
      </w:r>
    </w:p>
    <w:p w14:paraId="668A0D87" w14:textId="77777777" w:rsidR="00FC22A8" w:rsidRDefault="00FC22A8" w:rsidP="00FC22A8">
      <w:pPr>
        <w:tabs>
          <w:tab w:val="left" w:pos="567"/>
        </w:tabs>
        <w:spacing w:line="240" w:lineRule="auto"/>
        <w:contextualSpacing/>
        <w:jc w:val="both"/>
        <w:rPr>
          <w:b/>
          <w:bCs/>
          <w:szCs w:val="20"/>
          <w:lang w:val="es-MX"/>
        </w:rPr>
      </w:pPr>
    </w:p>
    <w:p w14:paraId="5935D287" w14:textId="77777777" w:rsidR="00FC22A8" w:rsidRPr="008E429C" w:rsidRDefault="00FC22A8" w:rsidP="00FC22A8">
      <w:pPr>
        <w:tabs>
          <w:tab w:val="left" w:pos="567"/>
        </w:tabs>
        <w:spacing w:line="240" w:lineRule="auto"/>
        <w:contextualSpacing/>
        <w:jc w:val="both"/>
        <w:rPr>
          <w:b/>
          <w:bCs/>
          <w:sz w:val="24"/>
          <w:szCs w:val="24"/>
          <w:lang w:val="es-MX"/>
        </w:rPr>
      </w:pPr>
      <w:bookmarkStart w:id="752" w:name="_Hlk218859225"/>
      <w:r w:rsidRPr="008E429C">
        <w:rPr>
          <w:b/>
          <w:bCs/>
          <w:sz w:val="24"/>
          <w:szCs w:val="24"/>
        </w:rPr>
        <w:t>COMUNICACIÓN EN SALUD</w:t>
      </w:r>
    </w:p>
    <w:bookmarkEnd w:id="752"/>
    <w:p w14:paraId="00DA60C2" w14:textId="77777777" w:rsidR="00FC22A8" w:rsidRDefault="00FC22A8" w:rsidP="00FC22A8">
      <w:pPr>
        <w:spacing w:after="0" w:line="240" w:lineRule="auto"/>
        <w:jc w:val="both"/>
        <w:rPr>
          <w:szCs w:val="20"/>
          <w:lang w:val="es-MX"/>
        </w:rPr>
      </w:pPr>
      <w:r>
        <w:rPr>
          <w:szCs w:val="20"/>
          <w:lang w:val="es-MX"/>
        </w:rPr>
        <w:t>R</w:t>
      </w:r>
      <w:r w:rsidRPr="0026620A">
        <w:rPr>
          <w:szCs w:val="20"/>
          <w:lang w:val="es-MX"/>
        </w:rPr>
        <w:t xml:space="preserve">ealización de campañas de salud sexual y reproductiva y desparasitación. </w:t>
      </w:r>
      <w:r>
        <w:rPr>
          <w:szCs w:val="20"/>
          <w:lang w:val="es-MX"/>
        </w:rPr>
        <w:t>C</w:t>
      </w:r>
      <w:r w:rsidRPr="0026620A">
        <w:rPr>
          <w:szCs w:val="20"/>
          <w:lang w:val="es-MX"/>
        </w:rPr>
        <w:t>ontar con un trabajo permanente con las áreas técnicas de otras dependencias para un resultado positivo</w:t>
      </w:r>
      <w:r>
        <w:rPr>
          <w:szCs w:val="20"/>
          <w:lang w:val="es-MX"/>
        </w:rPr>
        <w:t>.</w:t>
      </w:r>
    </w:p>
    <w:p w14:paraId="6100A5A0" w14:textId="77777777" w:rsidR="005A31CA" w:rsidRDefault="005A31CA" w:rsidP="00FC22A8">
      <w:pPr>
        <w:spacing w:after="0" w:line="240" w:lineRule="auto"/>
        <w:jc w:val="both"/>
        <w:rPr>
          <w:szCs w:val="20"/>
          <w:lang w:val="es-MX"/>
        </w:rPr>
      </w:pPr>
    </w:p>
    <w:p w14:paraId="31A67652" w14:textId="77777777" w:rsidR="005A31CA" w:rsidRDefault="005A31CA" w:rsidP="00FC22A8">
      <w:pPr>
        <w:spacing w:after="0" w:line="240" w:lineRule="auto"/>
        <w:jc w:val="both"/>
        <w:rPr>
          <w:szCs w:val="20"/>
          <w:lang w:val="es-MX"/>
        </w:rPr>
      </w:pPr>
    </w:p>
    <w:p w14:paraId="16BFAC64" w14:textId="77777777" w:rsidR="005A31CA" w:rsidRDefault="005A31CA" w:rsidP="00FC22A8">
      <w:pPr>
        <w:spacing w:after="0" w:line="240" w:lineRule="auto"/>
        <w:jc w:val="both"/>
        <w:rPr>
          <w:szCs w:val="20"/>
          <w:lang w:val="es-MX"/>
        </w:rPr>
      </w:pPr>
    </w:p>
    <w:p w14:paraId="44353DEB" w14:textId="77777777" w:rsidR="005A31CA" w:rsidRDefault="005A31CA" w:rsidP="00FC22A8">
      <w:pPr>
        <w:spacing w:after="0" w:line="240" w:lineRule="auto"/>
        <w:jc w:val="both"/>
        <w:rPr>
          <w:szCs w:val="20"/>
          <w:lang w:val="es-MX"/>
        </w:rPr>
      </w:pPr>
    </w:p>
    <w:p w14:paraId="7F14A232" w14:textId="77777777" w:rsidR="005A31CA" w:rsidRDefault="005A31CA" w:rsidP="00FC22A8">
      <w:pPr>
        <w:spacing w:after="0" w:line="240" w:lineRule="auto"/>
        <w:jc w:val="both"/>
        <w:rPr>
          <w:szCs w:val="20"/>
          <w:lang w:val="es-MX"/>
        </w:rPr>
      </w:pPr>
    </w:p>
    <w:p w14:paraId="5DE85611" w14:textId="77777777" w:rsidR="005A31CA" w:rsidRDefault="005A31CA" w:rsidP="00FC22A8">
      <w:pPr>
        <w:spacing w:after="0" w:line="240" w:lineRule="auto"/>
        <w:jc w:val="both"/>
        <w:rPr>
          <w:szCs w:val="20"/>
          <w:lang w:val="es-MX"/>
        </w:rPr>
      </w:pPr>
    </w:p>
    <w:p w14:paraId="25BB9EBD" w14:textId="77777777" w:rsidR="005A31CA" w:rsidRDefault="005A31CA" w:rsidP="00FC22A8">
      <w:pPr>
        <w:spacing w:after="0" w:line="240" w:lineRule="auto"/>
        <w:jc w:val="both"/>
        <w:rPr>
          <w:szCs w:val="20"/>
          <w:lang w:val="es-MX"/>
        </w:rPr>
      </w:pPr>
    </w:p>
    <w:p w14:paraId="19A6804A" w14:textId="77777777" w:rsidR="005A31CA" w:rsidRDefault="005A31CA" w:rsidP="00FC22A8">
      <w:pPr>
        <w:spacing w:after="0" w:line="240" w:lineRule="auto"/>
        <w:jc w:val="both"/>
        <w:rPr>
          <w:szCs w:val="20"/>
          <w:lang w:val="es-MX"/>
        </w:rPr>
      </w:pPr>
    </w:p>
    <w:p w14:paraId="0D03856E" w14:textId="77777777" w:rsidR="005A31CA" w:rsidRDefault="005A31CA" w:rsidP="00FC22A8">
      <w:pPr>
        <w:spacing w:after="0" w:line="240" w:lineRule="auto"/>
        <w:jc w:val="both"/>
        <w:rPr>
          <w:szCs w:val="20"/>
          <w:lang w:val="es-MX"/>
        </w:rPr>
      </w:pPr>
    </w:p>
    <w:p w14:paraId="578BE481" w14:textId="77777777" w:rsidR="005A31CA" w:rsidRDefault="005A31CA" w:rsidP="00FC22A8">
      <w:pPr>
        <w:spacing w:after="0" w:line="240" w:lineRule="auto"/>
        <w:jc w:val="both"/>
        <w:rPr>
          <w:szCs w:val="20"/>
          <w:lang w:val="es-MX"/>
        </w:rPr>
      </w:pPr>
    </w:p>
    <w:p w14:paraId="5BE2300E" w14:textId="77777777" w:rsidR="005A31CA" w:rsidRDefault="005A31CA" w:rsidP="00FC22A8">
      <w:pPr>
        <w:spacing w:after="0" w:line="240" w:lineRule="auto"/>
        <w:jc w:val="both"/>
        <w:rPr>
          <w:szCs w:val="20"/>
          <w:lang w:val="es-MX"/>
        </w:rPr>
      </w:pPr>
    </w:p>
    <w:p w14:paraId="1A4147E2" w14:textId="77777777" w:rsidR="005A31CA" w:rsidRDefault="005A31CA" w:rsidP="00FC22A8">
      <w:pPr>
        <w:spacing w:after="0" w:line="240" w:lineRule="auto"/>
        <w:jc w:val="both"/>
        <w:rPr>
          <w:szCs w:val="20"/>
          <w:lang w:val="es-MX"/>
        </w:rPr>
      </w:pPr>
    </w:p>
    <w:p w14:paraId="2EC06E99" w14:textId="77777777" w:rsidR="005A31CA" w:rsidRDefault="005A31CA" w:rsidP="00FC22A8">
      <w:pPr>
        <w:spacing w:after="0" w:line="240" w:lineRule="auto"/>
        <w:jc w:val="both"/>
        <w:rPr>
          <w:szCs w:val="20"/>
          <w:lang w:val="es-MX"/>
        </w:rPr>
      </w:pPr>
    </w:p>
    <w:p w14:paraId="1F2387B6" w14:textId="77777777" w:rsidR="005A31CA" w:rsidRDefault="005A31CA" w:rsidP="00FC22A8">
      <w:pPr>
        <w:spacing w:after="0" w:line="240" w:lineRule="auto"/>
        <w:jc w:val="both"/>
        <w:rPr>
          <w:szCs w:val="20"/>
          <w:lang w:val="es-MX"/>
        </w:rPr>
      </w:pPr>
    </w:p>
    <w:p w14:paraId="4F1DA228" w14:textId="77777777" w:rsidR="005A31CA" w:rsidRDefault="005A31CA" w:rsidP="00FC22A8">
      <w:pPr>
        <w:spacing w:after="0" w:line="240" w:lineRule="auto"/>
        <w:jc w:val="both"/>
        <w:rPr>
          <w:szCs w:val="20"/>
          <w:lang w:val="es-MX"/>
        </w:rPr>
      </w:pPr>
    </w:p>
    <w:p w14:paraId="1A4C1367" w14:textId="77777777" w:rsidR="005A31CA" w:rsidRDefault="005A31CA" w:rsidP="00FC22A8">
      <w:pPr>
        <w:spacing w:after="0" w:line="240" w:lineRule="auto"/>
        <w:jc w:val="both"/>
        <w:rPr>
          <w:szCs w:val="20"/>
          <w:lang w:val="es-MX"/>
        </w:rPr>
      </w:pPr>
    </w:p>
    <w:p w14:paraId="1E4986F6" w14:textId="77777777" w:rsidR="005A31CA" w:rsidRDefault="005A31CA" w:rsidP="00FC22A8">
      <w:pPr>
        <w:spacing w:after="0" w:line="240" w:lineRule="auto"/>
        <w:jc w:val="both"/>
        <w:rPr>
          <w:szCs w:val="20"/>
          <w:lang w:val="es-MX"/>
        </w:rPr>
      </w:pPr>
    </w:p>
    <w:p w14:paraId="6295665C" w14:textId="77777777" w:rsidR="005A31CA" w:rsidRDefault="005A31CA" w:rsidP="00FC22A8">
      <w:pPr>
        <w:spacing w:after="0" w:line="240" w:lineRule="auto"/>
        <w:jc w:val="both"/>
        <w:rPr>
          <w:szCs w:val="20"/>
          <w:lang w:val="es-MX"/>
        </w:rPr>
      </w:pPr>
    </w:p>
    <w:p w14:paraId="3AA46E8F" w14:textId="77777777" w:rsidR="005A31CA" w:rsidRDefault="005A31CA" w:rsidP="00FC22A8">
      <w:pPr>
        <w:spacing w:after="0" w:line="240" w:lineRule="auto"/>
        <w:jc w:val="both"/>
        <w:rPr>
          <w:szCs w:val="20"/>
          <w:lang w:val="es-MX"/>
        </w:rPr>
      </w:pPr>
    </w:p>
    <w:p w14:paraId="0C37A590" w14:textId="77777777" w:rsidR="005A31CA" w:rsidRDefault="005A31CA" w:rsidP="00FC22A8">
      <w:pPr>
        <w:spacing w:after="0" w:line="240" w:lineRule="auto"/>
        <w:jc w:val="both"/>
        <w:rPr>
          <w:szCs w:val="20"/>
          <w:lang w:val="es-MX"/>
        </w:rPr>
      </w:pPr>
    </w:p>
    <w:p w14:paraId="557965BE" w14:textId="77777777" w:rsidR="005A31CA" w:rsidRDefault="005A31CA" w:rsidP="00FC22A8">
      <w:pPr>
        <w:spacing w:after="0" w:line="240" w:lineRule="auto"/>
        <w:jc w:val="both"/>
        <w:rPr>
          <w:szCs w:val="20"/>
          <w:lang w:val="es-MX"/>
        </w:rPr>
      </w:pPr>
    </w:p>
    <w:p w14:paraId="33B3B625" w14:textId="77777777" w:rsidR="005A31CA" w:rsidRDefault="005A31CA" w:rsidP="00FC22A8">
      <w:pPr>
        <w:spacing w:after="0" w:line="240" w:lineRule="auto"/>
        <w:jc w:val="both"/>
        <w:rPr>
          <w:szCs w:val="20"/>
          <w:lang w:val="es-MX"/>
        </w:rPr>
      </w:pPr>
    </w:p>
    <w:p w14:paraId="3B5EB147" w14:textId="77777777" w:rsidR="005A31CA" w:rsidRDefault="005A31CA" w:rsidP="00FC22A8">
      <w:pPr>
        <w:spacing w:after="0" w:line="240" w:lineRule="auto"/>
        <w:jc w:val="both"/>
        <w:rPr>
          <w:szCs w:val="20"/>
          <w:lang w:val="es-MX"/>
        </w:rPr>
      </w:pPr>
    </w:p>
    <w:p w14:paraId="0286CE72" w14:textId="77777777" w:rsidR="005A31CA" w:rsidRPr="00A80E6D" w:rsidRDefault="005A31CA" w:rsidP="00FC22A8">
      <w:pPr>
        <w:spacing w:after="0" w:line="240" w:lineRule="auto"/>
        <w:jc w:val="both"/>
        <w:rPr>
          <w:szCs w:val="20"/>
          <w:lang w:val="es-MX"/>
        </w:rPr>
      </w:pPr>
    </w:p>
    <w:p w14:paraId="7369E069" w14:textId="40BD498E" w:rsidR="009718A7" w:rsidRPr="009718A7" w:rsidRDefault="009718A7" w:rsidP="009718A7">
      <w:pPr>
        <w:pStyle w:val="Ttulo4"/>
        <w:rPr>
          <w:rFonts w:ascii="Times New Roman" w:hAnsi="Times New Roman" w:cs="Times New Roman"/>
          <w:color w:val="00529C"/>
          <w:sz w:val="24"/>
        </w:rPr>
      </w:pPr>
      <w:bookmarkStart w:id="753" w:name="_Toc220402594"/>
      <w:r w:rsidRPr="009718A7">
        <w:rPr>
          <w:rFonts w:ascii="Times New Roman" w:hAnsi="Times New Roman" w:cs="Times New Roman"/>
          <w:color w:val="00529C"/>
          <w:sz w:val="24"/>
        </w:rPr>
        <w:t>III.2 SEGUIMIENTO AL DESAFÍO DECLARADO EN EL BAGP 202</w:t>
      </w:r>
      <w:bookmarkEnd w:id="751"/>
      <w:r w:rsidR="006C7BA3">
        <w:rPr>
          <w:rFonts w:ascii="Times New Roman" w:hAnsi="Times New Roman" w:cs="Times New Roman"/>
          <w:color w:val="00529C"/>
          <w:sz w:val="24"/>
        </w:rPr>
        <w:t>4</w:t>
      </w:r>
      <w:bookmarkEnd w:id="753"/>
    </w:p>
    <w:p w14:paraId="3C1FAECD" w14:textId="77777777" w:rsidR="00FC22A8" w:rsidRPr="00EB6912" w:rsidRDefault="00FC22A8" w:rsidP="00FC22A8">
      <w:pPr>
        <w:spacing w:before="120" w:after="0" w:line="240" w:lineRule="auto"/>
        <w:jc w:val="both"/>
        <w:rPr>
          <w:b/>
          <w:bCs/>
        </w:rPr>
      </w:pPr>
      <w:bookmarkStart w:id="754" w:name="_Toc402350399"/>
      <w:bookmarkStart w:id="755" w:name="_Toc402354151"/>
      <w:bookmarkStart w:id="756" w:name="_Toc402355077"/>
      <w:bookmarkStart w:id="757" w:name="_Toc402355541"/>
      <w:bookmarkStart w:id="758" w:name="_Toc402356381"/>
      <w:bookmarkStart w:id="759" w:name="_Toc402357221"/>
      <w:bookmarkStart w:id="760" w:name="_Toc402358060"/>
      <w:bookmarkStart w:id="761" w:name="_Toc402350404"/>
      <w:bookmarkStart w:id="762" w:name="_Toc402354156"/>
      <w:bookmarkStart w:id="763" w:name="_Toc402355082"/>
      <w:bookmarkStart w:id="764" w:name="_Toc402355546"/>
      <w:bookmarkStart w:id="765" w:name="_Toc402356386"/>
      <w:bookmarkStart w:id="766" w:name="_Toc402357226"/>
      <w:bookmarkStart w:id="767" w:name="_Toc402358065"/>
      <w:bookmarkStart w:id="768" w:name="_Toc402350405"/>
      <w:bookmarkStart w:id="769" w:name="_Toc402354157"/>
      <w:bookmarkStart w:id="770" w:name="_Toc402355083"/>
      <w:bookmarkStart w:id="771" w:name="_Toc402355547"/>
      <w:bookmarkStart w:id="772" w:name="_Toc402356387"/>
      <w:bookmarkStart w:id="773" w:name="_Toc402357227"/>
      <w:bookmarkStart w:id="774" w:name="_Toc402358066"/>
      <w:bookmarkStart w:id="775" w:name="_Toc402350406"/>
      <w:bookmarkStart w:id="776" w:name="_Toc402354158"/>
      <w:bookmarkStart w:id="777" w:name="_Toc402355084"/>
      <w:bookmarkStart w:id="778" w:name="_Toc402355548"/>
      <w:bookmarkStart w:id="779" w:name="_Toc402356388"/>
      <w:bookmarkStart w:id="780" w:name="_Toc402357228"/>
      <w:bookmarkStart w:id="781" w:name="_Toc402358067"/>
      <w:bookmarkStart w:id="782" w:name="_Toc402350407"/>
      <w:bookmarkStart w:id="783" w:name="_Toc402354159"/>
      <w:bookmarkStart w:id="784" w:name="_Toc402355085"/>
      <w:bookmarkStart w:id="785" w:name="_Toc402355549"/>
      <w:bookmarkStart w:id="786" w:name="_Toc402356389"/>
      <w:bookmarkStart w:id="787" w:name="_Toc402357229"/>
      <w:bookmarkStart w:id="788" w:name="_Toc402358068"/>
      <w:bookmarkStart w:id="789" w:name="_Toc402350408"/>
      <w:bookmarkStart w:id="790" w:name="_Toc402354160"/>
      <w:bookmarkStart w:id="791" w:name="_Toc402355086"/>
      <w:bookmarkStart w:id="792" w:name="_Toc402355550"/>
      <w:bookmarkStart w:id="793" w:name="_Toc402356390"/>
      <w:bookmarkStart w:id="794" w:name="_Toc402357230"/>
      <w:bookmarkStart w:id="795" w:name="_Toc402358069"/>
      <w:bookmarkStart w:id="796" w:name="_Hlk218754537"/>
      <w:bookmarkEnd w:id="747"/>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r w:rsidRPr="00EB6912">
        <w:rPr>
          <w:b/>
          <w:bCs/>
        </w:rPr>
        <w:t>ATENCIÓN PRIMARIA DE SALUD</w:t>
      </w:r>
    </w:p>
    <w:bookmarkEnd w:id="796"/>
    <w:p w14:paraId="2681BC7A" w14:textId="77777777" w:rsidR="00FC22A8" w:rsidRDefault="00FC22A8" w:rsidP="00FC22A8">
      <w:pPr>
        <w:pStyle w:val="NormalWeb"/>
        <w:spacing w:before="0" w:beforeAutospacing="0" w:after="0" w:afterAutospacing="0"/>
        <w:jc w:val="both"/>
        <w:rPr>
          <w:sz w:val="20"/>
          <w:szCs w:val="20"/>
          <w:lang w:val="es-ES"/>
        </w:rPr>
      </w:pPr>
    </w:p>
    <w:p w14:paraId="5A284B2B" w14:textId="77777777" w:rsidR="00FC22A8" w:rsidRPr="00344774" w:rsidRDefault="00FC22A8" w:rsidP="00FC22A8">
      <w:pPr>
        <w:pStyle w:val="NormalWeb"/>
        <w:spacing w:before="0" w:beforeAutospacing="0" w:after="0" w:afterAutospacing="0"/>
        <w:jc w:val="both"/>
        <w:rPr>
          <w:sz w:val="20"/>
          <w:szCs w:val="20"/>
        </w:rPr>
      </w:pPr>
      <w:r>
        <w:rPr>
          <w:sz w:val="20"/>
          <w:szCs w:val="20"/>
          <w:lang w:val="es-ES"/>
        </w:rPr>
        <w:t xml:space="preserve">En </w:t>
      </w:r>
      <w:r w:rsidRPr="00973296">
        <w:rPr>
          <w:sz w:val="20"/>
          <w:szCs w:val="20"/>
          <w:lang w:val="es-ES"/>
        </w:rPr>
        <w:t xml:space="preserve">el año 2025 </w:t>
      </w:r>
      <w:r>
        <w:rPr>
          <w:sz w:val="20"/>
          <w:szCs w:val="20"/>
        </w:rPr>
        <w:t>se instaló</w:t>
      </w:r>
      <w:r w:rsidRPr="00344774">
        <w:rPr>
          <w:sz w:val="20"/>
          <w:szCs w:val="20"/>
        </w:rPr>
        <w:t xml:space="preserve"> </w:t>
      </w:r>
      <w:r w:rsidRPr="00344774">
        <w:rPr>
          <w:b/>
          <w:bCs/>
          <w:sz w:val="20"/>
          <w:szCs w:val="20"/>
        </w:rPr>
        <w:t>17 nuevas Unidades de Salud de la Familia (USF)</w:t>
      </w:r>
      <w:r w:rsidRPr="00344774">
        <w:rPr>
          <w:sz w:val="20"/>
          <w:szCs w:val="20"/>
        </w:rPr>
        <w:t xml:space="preserve"> , lo que representa un </w:t>
      </w:r>
      <w:r w:rsidRPr="00344774">
        <w:rPr>
          <w:b/>
          <w:bCs/>
          <w:sz w:val="20"/>
          <w:szCs w:val="20"/>
        </w:rPr>
        <w:t>34,7% de avance</w:t>
      </w:r>
      <w:r w:rsidRPr="00344774">
        <w:rPr>
          <w:sz w:val="20"/>
          <w:szCs w:val="20"/>
        </w:rPr>
        <w:t xml:space="preserve"> respecto a la meta programada de 49 USF; asi mismo, se procedió a la intervención y refacción de </w:t>
      </w:r>
      <w:r w:rsidRPr="00344774">
        <w:rPr>
          <w:b/>
          <w:bCs/>
          <w:sz w:val="20"/>
          <w:szCs w:val="20"/>
        </w:rPr>
        <w:t>20 USF existentes</w:t>
      </w:r>
      <w:r w:rsidRPr="00344774">
        <w:rPr>
          <w:sz w:val="20"/>
          <w:szCs w:val="20"/>
        </w:rPr>
        <w:t xml:space="preserve"> , alcanzando un </w:t>
      </w:r>
      <w:r w:rsidRPr="00344774">
        <w:rPr>
          <w:b/>
          <w:bCs/>
          <w:sz w:val="20"/>
          <w:szCs w:val="20"/>
        </w:rPr>
        <w:t>83,3% de cumplimiento</w:t>
      </w:r>
      <w:r w:rsidRPr="00344774">
        <w:rPr>
          <w:sz w:val="20"/>
          <w:szCs w:val="20"/>
        </w:rPr>
        <w:t xml:space="preserve"> sobre la meta de 24; Por último se destaca el resultado en cuanto a la dotación de equipamiento básico a USF nuevas y existentes, habiendo intervenido </w:t>
      </w:r>
      <w:r w:rsidRPr="00344774">
        <w:rPr>
          <w:b/>
          <w:bCs/>
          <w:sz w:val="20"/>
          <w:szCs w:val="20"/>
        </w:rPr>
        <w:t>233 USF</w:t>
      </w:r>
      <w:r w:rsidRPr="00344774">
        <w:rPr>
          <w:sz w:val="20"/>
          <w:szCs w:val="20"/>
        </w:rPr>
        <w:t xml:space="preserve">, lo cual representa un </w:t>
      </w:r>
      <w:r w:rsidRPr="00344774">
        <w:rPr>
          <w:b/>
          <w:bCs/>
          <w:sz w:val="20"/>
          <w:szCs w:val="20"/>
        </w:rPr>
        <w:t>319,2% de ejecución</w:t>
      </w:r>
      <w:r w:rsidRPr="00344774">
        <w:rPr>
          <w:sz w:val="20"/>
          <w:szCs w:val="20"/>
        </w:rPr>
        <w:t>, superando ampliamente la meta establecida de 73 Unidades de Salud de la Familia.</w:t>
      </w:r>
    </w:p>
    <w:p w14:paraId="56D888F6" w14:textId="77777777" w:rsidR="00FC22A8" w:rsidRPr="00344774" w:rsidRDefault="00FC22A8" w:rsidP="00FC22A8">
      <w:pPr>
        <w:pStyle w:val="NormalWeb"/>
        <w:spacing w:before="0" w:beforeAutospacing="0" w:after="0" w:afterAutospacing="0"/>
        <w:jc w:val="both"/>
        <w:rPr>
          <w:sz w:val="20"/>
          <w:szCs w:val="20"/>
        </w:rPr>
      </w:pPr>
      <w:r w:rsidRPr="00344774">
        <w:rPr>
          <w:sz w:val="20"/>
          <w:szCs w:val="20"/>
        </w:rPr>
        <w:t>Las brechas en infraestructura se encuentran debidamente justificadas por retrasos en los cronogramas de obras según reporte del proyecto BM, los cuales se integrarán al plan de continuidad del presente período.</w:t>
      </w:r>
    </w:p>
    <w:p w14:paraId="4C0B2520" w14:textId="77777777" w:rsidR="00FC22A8" w:rsidRDefault="00FC22A8" w:rsidP="00FC22A8">
      <w:pPr>
        <w:pStyle w:val="NormalWeb"/>
        <w:spacing w:before="0" w:beforeAutospacing="0" w:after="0" w:afterAutospacing="0"/>
        <w:jc w:val="both"/>
        <w:rPr>
          <w:sz w:val="20"/>
          <w:szCs w:val="20"/>
        </w:rPr>
      </w:pPr>
      <w:r w:rsidRPr="00344774">
        <w:rPr>
          <w:sz w:val="20"/>
          <w:szCs w:val="20"/>
        </w:rPr>
        <w:t xml:space="preserve">Al cierre del año 2025 y con la habilitación de estas 17 nuevas USF, se proyecta un aumento de la </w:t>
      </w:r>
      <w:r w:rsidRPr="00344774">
        <w:rPr>
          <w:b/>
          <w:bCs/>
          <w:sz w:val="20"/>
          <w:szCs w:val="20"/>
        </w:rPr>
        <w:t>cobertura poblacional</w:t>
      </w:r>
      <w:r w:rsidRPr="00344774">
        <w:rPr>
          <w:sz w:val="20"/>
          <w:szCs w:val="20"/>
        </w:rPr>
        <w:t xml:space="preserve"> de alrededor de </w:t>
      </w:r>
      <w:r w:rsidRPr="00344774">
        <w:rPr>
          <w:b/>
          <w:bCs/>
          <w:sz w:val="20"/>
          <w:szCs w:val="20"/>
        </w:rPr>
        <w:t xml:space="preserve">65.000 personas </w:t>
      </w:r>
      <w:r w:rsidRPr="00344774">
        <w:rPr>
          <w:sz w:val="20"/>
          <w:szCs w:val="20"/>
        </w:rPr>
        <w:t xml:space="preserve">más, llegando a una </w:t>
      </w:r>
      <w:r w:rsidRPr="00344774">
        <w:rPr>
          <w:b/>
          <w:bCs/>
          <w:sz w:val="20"/>
          <w:szCs w:val="20"/>
        </w:rPr>
        <w:t>población asignada de 3.451.930</w:t>
      </w:r>
      <w:r w:rsidRPr="00344774">
        <w:rPr>
          <w:sz w:val="20"/>
          <w:szCs w:val="20"/>
        </w:rPr>
        <w:t xml:space="preserve"> representando así, el 54% de cobertura nacional con relación a los datos poblacionales proyectados por el INE para el 2025.</w:t>
      </w:r>
    </w:p>
    <w:p w14:paraId="60FBA2AF" w14:textId="77777777" w:rsidR="00FC22A8" w:rsidRPr="005A31CA" w:rsidRDefault="00FC22A8" w:rsidP="00FC22A8">
      <w:pPr>
        <w:pStyle w:val="NormalWeb"/>
        <w:spacing w:before="0" w:beforeAutospacing="0" w:after="0" w:afterAutospacing="0"/>
        <w:jc w:val="both"/>
        <w:rPr>
          <w:sz w:val="10"/>
          <w:szCs w:val="10"/>
        </w:rPr>
      </w:pPr>
    </w:p>
    <w:p w14:paraId="629C1BB5" w14:textId="77777777" w:rsidR="00FC22A8" w:rsidRPr="00336425" w:rsidRDefault="00FC22A8" w:rsidP="00FC22A8">
      <w:pPr>
        <w:pStyle w:val="NormalWeb"/>
        <w:spacing w:before="0" w:beforeAutospacing="0" w:after="0" w:afterAutospacing="0"/>
        <w:jc w:val="both"/>
        <w:rPr>
          <w:sz w:val="20"/>
          <w:szCs w:val="20"/>
        </w:rPr>
      </w:pPr>
      <w:r>
        <w:rPr>
          <w:sz w:val="20"/>
          <w:szCs w:val="20"/>
        </w:rPr>
        <w:t>I</w:t>
      </w:r>
      <w:r w:rsidRPr="00336425">
        <w:rPr>
          <w:b/>
          <w:bCs/>
          <w:sz w:val="20"/>
          <w:szCs w:val="20"/>
        </w:rPr>
        <w:t>ncorporación de 369 nuevos profesionales</w:t>
      </w:r>
      <w:r w:rsidRPr="00336425">
        <w:rPr>
          <w:sz w:val="20"/>
          <w:szCs w:val="20"/>
        </w:rPr>
        <w:t xml:space="preserve"> en las USF, mediante un riguroso proceso de concurso público de méritos ad referéndum.</w:t>
      </w:r>
    </w:p>
    <w:p w14:paraId="19DFDBDA" w14:textId="77777777" w:rsidR="00FC22A8" w:rsidRPr="00336425" w:rsidRDefault="00FC22A8" w:rsidP="00FC22A8">
      <w:pPr>
        <w:spacing w:after="0" w:line="240" w:lineRule="auto"/>
        <w:jc w:val="both"/>
        <w:rPr>
          <w:rFonts w:eastAsia="Times New Roman"/>
          <w:szCs w:val="20"/>
          <w:lang w:val="es-PY" w:eastAsia="es-PY"/>
        </w:rPr>
      </w:pPr>
      <w:r w:rsidRPr="00336425">
        <w:rPr>
          <w:rFonts w:eastAsia="Times New Roman"/>
          <w:szCs w:val="20"/>
          <w:lang w:val="es-PY" w:eastAsia="es-PY"/>
        </w:rPr>
        <w:t>Esta dotación de personal se desglosa de la siguiente manera:</w:t>
      </w:r>
    </w:p>
    <w:p w14:paraId="3C01FFA8" w14:textId="77777777" w:rsidR="00FC22A8" w:rsidRPr="00336425" w:rsidRDefault="00FC22A8" w:rsidP="00EE7E33">
      <w:pPr>
        <w:numPr>
          <w:ilvl w:val="0"/>
          <w:numId w:val="22"/>
        </w:numPr>
        <w:tabs>
          <w:tab w:val="clear" w:pos="720"/>
          <w:tab w:val="num" w:pos="142"/>
        </w:tabs>
        <w:spacing w:after="0" w:line="240" w:lineRule="auto"/>
        <w:ind w:hanging="720"/>
        <w:jc w:val="both"/>
        <w:rPr>
          <w:rFonts w:eastAsia="Times New Roman"/>
          <w:szCs w:val="20"/>
          <w:lang w:val="es-PY" w:eastAsia="es-PY"/>
        </w:rPr>
      </w:pPr>
      <w:r w:rsidRPr="00336425">
        <w:rPr>
          <w:rFonts w:eastAsia="Times New Roman"/>
          <w:b/>
          <w:bCs/>
          <w:szCs w:val="20"/>
          <w:lang w:val="es-PY" w:eastAsia="es-PY"/>
        </w:rPr>
        <w:t>88</w:t>
      </w:r>
      <w:r w:rsidRPr="00336425">
        <w:rPr>
          <w:rFonts w:eastAsia="Times New Roman"/>
          <w:szCs w:val="20"/>
          <w:lang w:val="es-PY" w:eastAsia="es-PY"/>
        </w:rPr>
        <w:t xml:space="preserve"> profesionales Médicos.</w:t>
      </w:r>
    </w:p>
    <w:p w14:paraId="33B9921E" w14:textId="77777777" w:rsidR="00FC22A8" w:rsidRPr="00336425" w:rsidRDefault="00FC22A8" w:rsidP="00EE7E33">
      <w:pPr>
        <w:numPr>
          <w:ilvl w:val="0"/>
          <w:numId w:val="22"/>
        </w:numPr>
        <w:tabs>
          <w:tab w:val="clear" w:pos="720"/>
          <w:tab w:val="num" w:pos="142"/>
        </w:tabs>
        <w:spacing w:after="0" w:line="240" w:lineRule="auto"/>
        <w:ind w:hanging="720"/>
        <w:jc w:val="both"/>
        <w:rPr>
          <w:rFonts w:eastAsia="Times New Roman"/>
          <w:szCs w:val="20"/>
          <w:lang w:val="es-PY" w:eastAsia="es-PY"/>
        </w:rPr>
      </w:pPr>
      <w:r w:rsidRPr="00336425">
        <w:rPr>
          <w:rFonts w:eastAsia="Times New Roman"/>
          <w:b/>
          <w:bCs/>
          <w:szCs w:val="20"/>
          <w:lang w:val="es-PY" w:eastAsia="es-PY"/>
        </w:rPr>
        <w:t>97</w:t>
      </w:r>
      <w:r w:rsidRPr="00336425">
        <w:rPr>
          <w:rFonts w:eastAsia="Times New Roman"/>
          <w:szCs w:val="20"/>
          <w:lang w:val="es-PY" w:eastAsia="es-PY"/>
        </w:rPr>
        <w:t xml:space="preserve"> profesionales Odontólogos.</w:t>
      </w:r>
    </w:p>
    <w:p w14:paraId="71276AAD" w14:textId="77777777" w:rsidR="00FC22A8" w:rsidRPr="00336425" w:rsidRDefault="00FC22A8" w:rsidP="00EE7E33">
      <w:pPr>
        <w:numPr>
          <w:ilvl w:val="0"/>
          <w:numId w:val="22"/>
        </w:numPr>
        <w:tabs>
          <w:tab w:val="clear" w:pos="720"/>
          <w:tab w:val="num" w:pos="142"/>
        </w:tabs>
        <w:spacing w:after="0" w:line="240" w:lineRule="auto"/>
        <w:ind w:hanging="720"/>
        <w:jc w:val="both"/>
        <w:rPr>
          <w:rFonts w:eastAsia="Times New Roman"/>
          <w:szCs w:val="20"/>
          <w:lang w:val="es-PY" w:eastAsia="es-PY"/>
        </w:rPr>
      </w:pPr>
      <w:r w:rsidRPr="00336425">
        <w:rPr>
          <w:rFonts w:eastAsia="Times New Roman"/>
          <w:b/>
          <w:bCs/>
          <w:szCs w:val="20"/>
          <w:lang w:val="es-PY" w:eastAsia="es-PY"/>
        </w:rPr>
        <w:t>100</w:t>
      </w:r>
      <w:r w:rsidRPr="00336425">
        <w:rPr>
          <w:rFonts w:eastAsia="Times New Roman"/>
          <w:szCs w:val="20"/>
          <w:lang w:val="es-PY" w:eastAsia="es-PY"/>
        </w:rPr>
        <w:t xml:space="preserve"> licenciados en Enfermería.</w:t>
      </w:r>
    </w:p>
    <w:p w14:paraId="103470A0" w14:textId="77777777" w:rsidR="00FC22A8" w:rsidRPr="00336425" w:rsidRDefault="00FC22A8" w:rsidP="00EE7E33">
      <w:pPr>
        <w:numPr>
          <w:ilvl w:val="0"/>
          <w:numId w:val="22"/>
        </w:numPr>
        <w:tabs>
          <w:tab w:val="clear" w:pos="720"/>
          <w:tab w:val="num" w:pos="142"/>
        </w:tabs>
        <w:spacing w:after="0" w:line="240" w:lineRule="auto"/>
        <w:ind w:hanging="720"/>
        <w:jc w:val="both"/>
        <w:rPr>
          <w:rFonts w:eastAsia="Times New Roman"/>
          <w:szCs w:val="20"/>
          <w:lang w:val="es-PY" w:eastAsia="es-PY"/>
        </w:rPr>
      </w:pPr>
      <w:r w:rsidRPr="00336425">
        <w:rPr>
          <w:rFonts w:eastAsia="Times New Roman"/>
          <w:b/>
          <w:bCs/>
          <w:szCs w:val="20"/>
          <w:lang w:val="es-PY" w:eastAsia="es-PY"/>
        </w:rPr>
        <w:t xml:space="preserve">84 </w:t>
      </w:r>
      <w:r w:rsidRPr="00336425">
        <w:rPr>
          <w:rFonts w:eastAsia="Times New Roman"/>
          <w:szCs w:val="20"/>
          <w:lang w:val="es-PY" w:eastAsia="es-PY"/>
        </w:rPr>
        <w:t>licenciados en Obstetricia.</w:t>
      </w:r>
    </w:p>
    <w:p w14:paraId="46D174AE" w14:textId="77777777" w:rsidR="00FC22A8" w:rsidRPr="00336425" w:rsidRDefault="00FC22A8" w:rsidP="00FC22A8">
      <w:pPr>
        <w:spacing w:after="0" w:line="240" w:lineRule="auto"/>
        <w:jc w:val="both"/>
        <w:rPr>
          <w:rFonts w:eastAsia="Times New Roman"/>
          <w:szCs w:val="20"/>
          <w:lang w:val="es-PY" w:eastAsia="es-PY"/>
        </w:rPr>
      </w:pPr>
      <w:r w:rsidRPr="00336425">
        <w:rPr>
          <w:rFonts w:eastAsia="Times New Roman"/>
          <w:szCs w:val="20"/>
          <w:lang w:val="es-PY" w:eastAsia="es-PY"/>
        </w:rPr>
        <w:t xml:space="preserve">Dichas incorporaciones representan un </w:t>
      </w:r>
      <w:r w:rsidRPr="00336425">
        <w:rPr>
          <w:rFonts w:eastAsia="Times New Roman"/>
          <w:b/>
          <w:bCs/>
          <w:szCs w:val="20"/>
          <w:lang w:val="es-PY" w:eastAsia="es-PY"/>
        </w:rPr>
        <w:t>753% de avance</w:t>
      </w:r>
      <w:r w:rsidRPr="00336425">
        <w:rPr>
          <w:rFonts w:eastAsia="Times New Roman"/>
          <w:szCs w:val="20"/>
          <w:lang w:val="es-PY" w:eastAsia="es-PY"/>
        </w:rPr>
        <w:t xml:space="preserve"> respecto a la meta programada de incorporación de 49 profesionales para el presente período, superando ampliamente las expectativas institucionales y fortaleciendo así la capacidad resolutiva de los equipos de salud en territorio.</w:t>
      </w:r>
    </w:p>
    <w:p w14:paraId="6C7606C8" w14:textId="77777777" w:rsidR="00FC22A8" w:rsidRDefault="00FC22A8" w:rsidP="00FC22A8">
      <w:pPr>
        <w:pStyle w:val="NormalWeb"/>
        <w:spacing w:before="0" w:beforeAutospacing="0" w:after="0" w:afterAutospacing="0"/>
        <w:jc w:val="both"/>
        <w:rPr>
          <w:sz w:val="20"/>
          <w:szCs w:val="20"/>
        </w:rPr>
      </w:pPr>
    </w:p>
    <w:p w14:paraId="06EF231E" w14:textId="77777777" w:rsidR="00FC22A8" w:rsidRPr="0068102C" w:rsidRDefault="00FC22A8" w:rsidP="00FC22A8">
      <w:pPr>
        <w:spacing w:after="0" w:line="240" w:lineRule="auto"/>
        <w:jc w:val="both"/>
        <w:rPr>
          <w:b/>
          <w:bCs/>
        </w:rPr>
      </w:pPr>
      <w:r>
        <w:rPr>
          <w:b/>
          <w:bCs/>
        </w:rPr>
        <w:t>UNIDADES</w:t>
      </w:r>
      <w:r w:rsidRPr="0068102C">
        <w:rPr>
          <w:b/>
          <w:bCs/>
        </w:rPr>
        <w:t xml:space="preserve"> DE TERAPIAS INTENSIVAS</w:t>
      </w:r>
    </w:p>
    <w:p w14:paraId="1F22DE23" w14:textId="77777777" w:rsidR="00FC22A8" w:rsidRPr="0068102C" w:rsidRDefault="00FC22A8" w:rsidP="00FC22A8">
      <w:pPr>
        <w:spacing w:after="0" w:line="240" w:lineRule="auto"/>
        <w:jc w:val="both"/>
        <w:rPr>
          <w:b/>
          <w:bCs/>
        </w:rPr>
      </w:pPr>
      <w:r>
        <w:rPr>
          <w:b/>
          <w:bCs/>
        </w:rPr>
        <w:t xml:space="preserve"> </w:t>
      </w:r>
    </w:p>
    <w:p w14:paraId="17B0ACF3" w14:textId="153484CD" w:rsidR="00FC22A8" w:rsidRDefault="00FC22A8" w:rsidP="00FC22A8">
      <w:pPr>
        <w:spacing w:after="0" w:line="240" w:lineRule="auto"/>
        <w:jc w:val="both"/>
        <w:rPr>
          <w:b/>
          <w:bCs/>
        </w:rPr>
      </w:pPr>
      <w:r>
        <w:rPr>
          <w:b/>
          <w:bCs/>
        </w:rPr>
        <w:t xml:space="preserve">Unidades de Terapias Intensivas con funcionalidad completa </w:t>
      </w:r>
    </w:p>
    <w:p w14:paraId="6FE79DA6" w14:textId="77777777" w:rsidR="00FC22A8" w:rsidRDefault="00FC22A8" w:rsidP="00FC22A8">
      <w:pPr>
        <w:spacing w:after="0" w:line="240" w:lineRule="auto"/>
        <w:jc w:val="both"/>
      </w:pPr>
      <w:r>
        <w:t>Para el año 2025 se había trazado como meta 65 (sesenta y cinco) UTI habilitadas con funcionalidad completa, la Dirección de Terapias Intensivas mediante un d</w:t>
      </w:r>
      <w:r w:rsidRPr="0080464D">
        <w:t xml:space="preserve">iagnóstico de </w:t>
      </w:r>
      <w:r>
        <w:t>c</w:t>
      </w:r>
      <w:r w:rsidRPr="0080464D">
        <w:t>ampo</w:t>
      </w:r>
      <w:r>
        <w:t xml:space="preserve"> a través de </w:t>
      </w:r>
      <w:r w:rsidRPr="0080464D">
        <w:t>relevamiento mediante recorridas y la verificación in situ permitieron identificar las brechas reales en cada unidad.</w:t>
      </w:r>
      <w:r>
        <w:t xml:space="preserve">  </w:t>
      </w:r>
    </w:p>
    <w:p w14:paraId="2397CC10" w14:textId="77777777" w:rsidR="00FC22A8" w:rsidRDefault="00FC22A8" w:rsidP="00FC22A8">
      <w:pPr>
        <w:spacing w:after="0" w:line="240" w:lineRule="auto"/>
        <w:jc w:val="both"/>
      </w:pPr>
      <w:r>
        <w:t>Gestión de recursos disponibles a través de l</w:t>
      </w:r>
      <w:r w:rsidRPr="0080464D">
        <w:t>a provisión de equipos biomédicos</w:t>
      </w:r>
      <w:r>
        <w:t>,</w:t>
      </w:r>
      <w:r w:rsidRPr="0080464D">
        <w:t xml:space="preserve"> dirigida específicamente a donde hacía falta, evitando el desperdicio y optimizando la distribución.</w:t>
      </w:r>
      <w:r w:rsidRPr="00A613A2">
        <w:t xml:space="preserve"> </w:t>
      </w:r>
      <w:r>
        <w:t>Además, se</w:t>
      </w:r>
      <w:r w:rsidRPr="00A613A2">
        <w:t xml:space="preserve"> intervino en el mantenimiento de la infraestructura, asegurando que las unidades fueran operativas y seguras a largo plazo.</w:t>
      </w:r>
    </w:p>
    <w:p w14:paraId="117C44E0" w14:textId="77777777" w:rsidR="00FC22A8" w:rsidRDefault="00FC22A8" w:rsidP="00FC22A8">
      <w:pPr>
        <w:spacing w:after="0" w:line="240" w:lineRule="auto"/>
        <w:jc w:val="both"/>
      </w:pPr>
      <w:r>
        <w:t>Con estas acciones se ha superado la meta establecida llegando a 125 (ciento veinte y cinco) UTI habilitadas con funcionalidad completa.</w:t>
      </w:r>
    </w:p>
    <w:p w14:paraId="676B0EA7" w14:textId="1CABF870" w:rsidR="00FC22A8" w:rsidRDefault="00FC22A8" w:rsidP="00FC22A8">
      <w:pPr>
        <w:spacing w:after="0" w:line="240" w:lineRule="auto"/>
        <w:jc w:val="both"/>
        <w:rPr>
          <w:b/>
          <w:bCs/>
        </w:rPr>
      </w:pPr>
      <w:r w:rsidRPr="00137712">
        <w:rPr>
          <w:b/>
          <w:bCs/>
        </w:rPr>
        <w:t>Incorporación de Recursos Humanos especializados en terapia intensiva</w:t>
      </w:r>
    </w:p>
    <w:p w14:paraId="111E0F3D" w14:textId="77777777" w:rsidR="00FC22A8" w:rsidRDefault="00FC22A8" w:rsidP="00FC22A8">
      <w:pPr>
        <w:spacing w:after="0" w:line="240" w:lineRule="auto"/>
        <w:jc w:val="both"/>
      </w:pPr>
      <w:r>
        <w:t xml:space="preserve">La meta establecida para el año 2025 era de 38 (treinta y ocho) profesionales incorporados, la Dirección de Terapias Intensivas realizó un levantamiento de necesidades específicas de cada UTI, asegurando que el personal no solo fuera suficiente en número, sino adecuado en competencias, el beneficio no es solo cuantitativo, sino que impacta directamente en la seguridad del paciente crítico. </w:t>
      </w:r>
    </w:p>
    <w:p w14:paraId="493B4038" w14:textId="77777777" w:rsidR="00FC22A8" w:rsidRDefault="00FC22A8" w:rsidP="00FC22A8">
      <w:pPr>
        <w:spacing w:after="0" w:line="240" w:lineRule="auto"/>
        <w:jc w:val="both"/>
      </w:pPr>
      <w:r>
        <w:t>En base a los datos que se obtuvieron se realizaron las solicitudes correspondientes y se contrataron a 166 (ciento sesenta y seis) profesionales especializados en cuidados críticos, logrando superar la meta fijada.</w:t>
      </w:r>
    </w:p>
    <w:p w14:paraId="011B92DE" w14:textId="7F00A99F" w:rsidR="00FC22A8" w:rsidRDefault="00FC22A8" w:rsidP="00FC22A8">
      <w:pPr>
        <w:spacing w:after="0" w:line="240" w:lineRule="auto"/>
        <w:jc w:val="both"/>
        <w:rPr>
          <w:b/>
          <w:bCs/>
        </w:rPr>
      </w:pPr>
      <w:r w:rsidRPr="00CA4AEC">
        <w:rPr>
          <w:b/>
          <w:bCs/>
        </w:rPr>
        <w:t xml:space="preserve">Número de camas UTI adquiridas </w:t>
      </w:r>
    </w:p>
    <w:p w14:paraId="19DDFF0E" w14:textId="77777777" w:rsidR="00FC22A8" w:rsidRDefault="00FC22A8" w:rsidP="00FC22A8">
      <w:pPr>
        <w:spacing w:after="0" w:line="240" w:lineRule="auto"/>
        <w:jc w:val="both"/>
      </w:pPr>
      <w:r>
        <w:t xml:space="preserve">Producto del relevamiento de datos, se obtuvieron las necesidades reales se planificaron y llevaron a cabo llamados en el marco del Fortalecimiento de las UCI a nivel país, adquiriendo entre otros equipos 75 (setenta y cinco) Camas, superando así la meta establecida para el año 2025 de 65(sesenta y cinco). </w:t>
      </w:r>
    </w:p>
    <w:p w14:paraId="11EC818B" w14:textId="77777777" w:rsidR="005A31CA" w:rsidRDefault="005A31CA" w:rsidP="00FC22A8">
      <w:pPr>
        <w:spacing w:after="0" w:line="240" w:lineRule="auto"/>
        <w:jc w:val="both"/>
      </w:pPr>
    </w:p>
    <w:p w14:paraId="5F7761B6" w14:textId="77777777" w:rsidR="005A31CA" w:rsidRDefault="005A31CA" w:rsidP="00FC22A8">
      <w:pPr>
        <w:spacing w:after="0" w:line="240" w:lineRule="auto"/>
        <w:jc w:val="both"/>
      </w:pPr>
    </w:p>
    <w:p w14:paraId="64FBC60F" w14:textId="77777777" w:rsidR="005A31CA" w:rsidRDefault="005A31CA" w:rsidP="00FC22A8">
      <w:pPr>
        <w:spacing w:after="0" w:line="240" w:lineRule="auto"/>
        <w:jc w:val="both"/>
      </w:pPr>
    </w:p>
    <w:p w14:paraId="1708F24E" w14:textId="77777777" w:rsidR="005A31CA" w:rsidRPr="00CA4AEC" w:rsidRDefault="005A31CA" w:rsidP="00FC22A8">
      <w:pPr>
        <w:spacing w:after="0" w:line="240" w:lineRule="auto"/>
        <w:jc w:val="both"/>
      </w:pPr>
    </w:p>
    <w:p w14:paraId="748E7C99" w14:textId="77777777" w:rsidR="00FC22A8" w:rsidRDefault="00FC22A8" w:rsidP="00FC22A8">
      <w:pPr>
        <w:spacing w:before="120" w:after="0" w:line="240" w:lineRule="auto"/>
        <w:jc w:val="both"/>
        <w:rPr>
          <w:b/>
          <w:szCs w:val="20"/>
          <w:lang w:val="es-PY"/>
        </w:rPr>
      </w:pPr>
      <w:r>
        <w:rPr>
          <w:b/>
          <w:szCs w:val="20"/>
          <w:lang w:val="es-PY"/>
        </w:rPr>
        <w:t>AMBULANCIAS</w:t>
      </w:r>
    </w:p>
    <w:p w14:paraId="194EEDFC" w14:textId="77777777" w:rsidR="00FC22A8" w:rsidRPr="007021CD" w:rsidRDefault="00FC22A8" w:rsidP="00FC22A8">
      <w:pPr>
        <w:spacing w:before="120" w:after="0" w:line="240" w:lineRule="auto"/>
        <w:jc w:val="both"/>
        <w:rPr>
          <w:bCs/>
          <w:szCs w:val="20"/>
          <w:lang w:val="es-PY"/>
        </w:rPr>
      </w:pPr>
      <w:r w:rsidRPr="007021CD">
        <w:rPr>
          <w:bCs/>
          <w:szCs w:val="20"/>
          <w:lang w:val="es-PY"/>
        </w:rPr>
        <w:t xml:space="preserve">El Ministerio de Salud </w:t>
      </w:r>
      <w:r>
        <w:rPr>
          <w:bCs/>
          <w:szCs w:val="20"/>
          <w:lang w:val="es-PY"/>
        </w:rPr>
        <w:t>Pública y Bienestar Social</w:t>
      </w:r>
      <w:r w:rsidRPr="007021CD">
        <w:rPr>
          <w:bCs/>
          <w:szCs w:val="20"/>
          <w:lang w:val="es-PY"/>
        </w:rPr>
        <w:t>, a través del SEME, recibió un total de 217 ambulancias financiadas por Itaipú, completando una entrega histórica que garantiza al menos una unidad por distrito y refuerza la red de emergencias, incluyendo unidades de soporte básico y avanzado (UTI)</w:t>
      </w:r>
      <w:r>
        <w:rPr>
          <w:bCs/>
          <w:szCs w:val="20"/>
          <w:lang w:val="es-PY"/>
        </w:rPr>
        <w:t xml:space="preserve">. </w:t>
      </w:r>
    </w:p>
    <w:p w14:paraId="040CAA1A" w14:textId="77777777" w:rsidR="00FC22A8" w:rsidRDefault="00FC22A8" w:rsidP="00FC22A8">
      <w:pPr>
        <w:spacing w:before="120" w:after="0" w:line="240" w:lineRule="auto"/>
        <w:jc w:val="both"/>
        <w:rPr>
          <w:b/>
          <w:szCs w:val="20"/>
          <w:lang w:val="es-PY"/>
        </w:rPr>
      </w:pPr>
      <w:r>
        <w:rPr>
          <w:b/>
          <w:szCs w:val="20"/>
          <w:lang w:val="es-PY"/>
        </w:rPr>
        <w:t>ENTORNO SALUDABLE</w:t>
      </w:r>
    </w:p>
    <w:p w14:paraId="74E65AD8" w14:textId="77777777" w:rsidR="00FC22A8" w:rsidRPr="00A416EB" w:rsidRDefault="00FC22A8" w:rsidP="00FC22A8">
      <w:pPr>
        <w:tabs>
          <w:tab w:val="left" w:pos="567"/>
        </w:tabs>
        <w:spacing w:after="0" w:line="240" w:lineRule="auto"/>
        <w:contextualSpacing/>
        <w:jc w:val="both"/>
        <w:rPr>
          <w:rFonts w:eastAsia="Calibri"/>
          <w:b/>
          <w:szCs w:val="20"/>
          <w:lang w:val="es-PY"/>
        </w:rPr>
      </w:pPr>
      <w:r w:rsidRPr="00A416EB">
        <w:rPr>
          <w:rFonts w:eastAsia="Calibri"/>
          <w:b/>
          <w:szCs w:val="20"/>
          <w:lang w:val="es-PY"/>
        </w:rPr>
        <w:t>Implementación de estrategias de Promoción de la Salud en diferentes entornos</w:t>
      </w:r>
    </w:p>
    <w:p w14:paraId="44380189" w14:textId="77777777" w:rsidR="00FC22A8" w:rsidRPr="00A416EB" w:rsidRDefault="00FC22A8" w:rsidP="00FC22A8">
      <w:pPr>
        <w:tabs>
          <w:tab w:val="left" w:pos="567"/>
        </w:tabs>
        <w:spacing w:after="0" w:line="240" w:lineRule="auto"/>
        <w:jc w:val="both"/>
        <w:rPr>
          <w:rFonts w:eastAsia="Calibri"/>
          <w:b/>
          <w:szCs w:val="20"/>
          <w:lang w:val="es-PY"/>
        </w:rPr>
      </w:pPr>
      <w:r w:rsidRPr="00A416EB">
        <w:rPr>
          <w:rFonts w:eastAsia="Calibri"/>
          <w:b/>
          <w:szCs w:val="20"/>
          <w:lang w:val="es-PY"/>
        </w:rPr>
        <w:t>Estrategia Municipio Saludable</w:t>
      </w:r>
    </w:p>
    <w:p w14:paraId="339FC25B" w14:textId="77777777" w:rsidR="00FC22A8" w:rsidRDefault="00FC22A8" w:rsidP="00FC22A8">
      <w:pPr>
        <w:tabs>
          <w:tab w:val="left" w:pos="567"/>
        </w:tabs>
        <w:spacing w:after="0" w:line="240" w:lineRule="auto"/>
        <w:jc w:val="both"/>
        <w:rPr>
          <w:rFonts w:eastAsia="Calibri"/>
          <w:szCs w:val="20"/>
          <w:lang w:val="es-PY"/>
        </w:rPr>
      </w:pPr>
      <w:r w:rsidRPr="00A416EB">
        <w:rPr>
          <w:rFonts w:eastAsia="Calibri"/>
          <w:szCs w:val="20"/>
          <w:lang w:val="es-PY"/>
        </w:rPr>
        <w:t>Organización y elaboración del Plan Local Participativo con enfoque de los Determinantes Sociales de la Salud, en los municipios que se incorporaron al Proyecto Incentivo por Cumplimiento de Metas Sanitarias Ñamyasai Salud y Familia - Banco Mundial, llegando a la implementación en 247 municipios en diferentes etapas del proceso de la estrategia.</w:t>
      </w:r>
    </w:p>
    <w:p w14:paraId="5CF27A42" w14:textId="77777777" w:rsidR="00FC22A8" w:rsidRPr="005A31CA" w:rsidRDefault="00FC22A8" w:rsidP="00FC22A8">
      <w:pPr>
        <w:tabs>
          <w:tab w:val="left" w:pos="567"/>
        </w:tabs>
        <w:spacing w:after="0" w:line="240" w:lineRule="auto"/>
        <w:jc w:val="both"/>
        <w:rPr>
          <w:rFonts w:eastAsia="Calibri"/>
          <w:sz w:val="10"/>
          <w:szCs w:val="10"/>
          <w:lang w:val="es-PY"/>
        </w:rPr>
      </w:pPr>
    </w:p>
    <w:p w14:paraId="12EFF1E1" w14:textId="12BA88C7" w:rsidR="00FC22A8" w:rsidRDefault="00FC22A8" w:rsidP="00FC22A8">
      <w:pPr>
        <w:tabs>
          <w:tab w:val="left" w:pos="567"/>
        </w:tabs>
        <w:spacing w:after="0" w:line="240" w:lineRule="auto"/>
        <w:jc w:val="both"/>
        <w:rPr>
          <w:rFonts w:eastAsia="Calibri"/>
          <w:b/>
          <w:szCs w:val="20"/>
          <w:lang w:val="es-PY"/>
        </w:rPr>
      </w:pPr>
      <w:r w:rsidRPr="00A416EB">
        <w:rPr>
          <w:rFonts w:eastAsia="Calibri"/>
          <w:b/>
          <w:szCs w:val="20"/>
          <w:lang w:val="es-PY"/>
        </w:rPr>
        <w:t>ESTRATEGIA ESCUELA SALUDABLE</w:t>
      </w:r>
    </w:p>
    <w:p w14:paraId="51C7BEBF" w14:textId="77777777" w:rsidR="00FC22A8" w:rsidRPr="00A416EB" w:rsidRDefault="00FC22A8" w:rsidP="00FC22A8">
      <w:pPr>
        <w:tabs>
          <w:tab w:val="left" w:pos="567"/>
        </w:tabs>
        <w:spacing w:after="0" w:line="240" w:lineRule="auto"/>
        <w:jc w:val="both"/>
        <w:rPr>
          <w:rFonts w:eastAsia="Calibri"/>
          <w:szCs w:val="20"/>
          <w:lang w:val="es-PY"/>
        </w:rPr>
      </w:pPr>
    </w:p>
    <w:p w14:paraId="1A1F0FE5" w14:textId="77777777" w:rsidR="00FC22A8" w:rsidRPr="00A416EB" w:rsidRDefault="00FC22A8" w:rsidP="00FC22A8">
      <w:pPr>
        <w:tabs>
          <w:tab w:val="left" w:pos="567"/>
        </w:tabs>
        <w:spacing w:after="0" w:line="240" w:lineRule="auto"/>
        <w:jc w:val="both"/>
        <w:rPr>
          <w:rFonts w:eastAsia="Calibri"/>
          <w:szCs w:val="20"/>
          <w:lang w:val="es-PY"/>
        </w:rPr>
      </w:pPr>
      <w:r w:rsidRPr="00A416EB">
        <w:rPr>
          <w:rFonts w:eastAsia="Calibri"/>
          <w:szCs w:val="20"/>
          <w:lang w:val="es-PY"/>
        </w:rPr>
        <w:t>Socialización y sensibilización de la estrategia Escuela Saludable en nuevas instituciones educativas, llegando con la implementación de la estrategia a 1445 instituciones educativas (266 instituciones educativas iniciaron la implementación de la estrategia este año).</w:t>
      </w:r>
    </w:p>
    <w:p w14:paraId="34B17EC9" w14:textId="38F27E68" w:rsidR="00FC22A8" w:rsidRDefault="00FC22A8" w:rsidP="00FC22A8">
      <w:pPr>
        <w:tabs>
          <w:tab w:val="left" w:pos="567"/>
        </w:tabs>
        <w:spacing w:after="0" w:line="240" w:lineRule="auto"/>
        <w:jc w:val="both"/>
        <w:rPr>
          <w:rFonts w:eastAsia="Calibri"/>
          <w:szCs w:val="20"/>
          <w:lang w:val="es-PY"/>
        </w:rPr>
      </w:pPr>
      <w:r w:rsidRPr="00A416EB">
        <w:rPr>
          <w:rFonts w:eastAsia="Calibri"/>
          <w:szCs w:val="20"/>
          <w:lang w:val="es-PY"/>
        </w:rPr>
        <w:t>Seguimiento, monitoreo y evaluación en las instituciones educativas, de las cuales 28 lograron la acreditación como Escuelas Saludables (Central, Alto Paraná y Capital</w:t>
      </w:r>
      <w:r>
        <w:rPr>
          <w:rFonts w:eastAsia="Calibri"/>
          <w:szCs w:val="20"/>
          <w:lang w:val="es-PY"/>
        </w:rPr>
        <w:t>)</w:t>
      </w:r>
    </w:p>
    <w:p w14:paraId="6E1B7263" w14:textId="77777777" w:rsidR="00FC22A8" w:rsidRPr="005A31CA" w:rsidRDefault="00FC22A8" w:rsidP="00FC22A8">
      <w:pPr>
        <w:tabs>
          <w:tab w:val="left" w:pos="567"/>
        </w:tabs>
        <w:spacing w:after="0" w:line="240" w:lineRule="auto"/>
        <w:jc w:val="both"/>
        <w:rPr>
          <w:rFonts w:eastAsia="Calibri"/>
          <w:sz w:val="10"/>
          <w:szCs w:val="10"/>
          <w:lang w:val="es-PY"/>
        </w:rPr>
      </w:pPr>
    </w:p>
    <w:p w14:paraId="1859C082" w14:textId="3C2DD675" w:rsidR="00FC22A8" w:rsidRDefault="00FC22A8" w:rsidP="00FC22A8">
      <w:pPr>
        <w:tabs>
          <w:tab w:val="left" w:pos="567"/>
        </w:tabs>
        <w:spacing w:after="0" w:line="240" w:lineRule="auto"/>
        <w:jc w:val="both"/>
        <w:rPr>
          <w:rFonts w:eastAsia="Calibri"/>
          <w:b/>
          <w:szCs w:val="20"/>
          <w:lang w:val="es-PY"/>
        </w:rPr>
      </w:pPr>
      <w:r w:rsidRPr="00A416EB">
        <w:rPr>
          <w:rFonts w:eastAsia="Calibri"/>
          <w:b/>
          <w:szCs w:val="20"/>
          <w:lang w:val="es-PY"/>
        </w:rPr>
        <w:t>ESTRATEGIA CENTRO LABORAL SALUDABLE</w:t>
      </w:r>
    </w:p>
    <w:p w14:paraId="56DC0F22" w14:textId="77777777" w:rsidR="00FC22A8" w:rsidRPr="00A416EB" w:rsidRDefault="00FC22A8" w:rsidP="00FC22A8">
      <w:pPr>
        <w:tabs>
          <w:tab w:val="left" w:pos="567"/>
        </w:tabs>
        <w:spacing w:after="0" w:line="240" w:lineRule="auto"/>
        <w:jc w:val="both"/>
        <w:rPr>
          <w:rFonts w:eastAsia="Calibri"/>
          <w:b/>
          <w:szCs w:val="20"/>
          <w:lang w:val="es-PY"/>
        </w:rPr>
      </w:pPr>
    </w:p>
    <w:p w14:paraId="463B0CC0" w14:textId="77777777" w:rsidR="00FC22A8" w:rsidRPr="00A416EB" w:rsidRDefault="00FC22A8" w:rsidP="00FC22A8">
      <w:pPr>
        <w:tabs>
          <w:tab w:val="left" w:pos="567"/>
        </w:tabs>
        <w:spacing w:after="0" w:line="240" w:lineRule="auto"/>
        <w:jc w:val="both"/>
        <w:rPr>
          <w:rFonts w:eastAsia="Calibri"/>
          <w:szCs w:val="20"/>
          <w:lang w:val="es-PY"/>
        </w:rPr>
      </w:pPr>
      <w:r w:rsidRPr="00A416EB">
        <w:rPr>
          <w:rFonts w:eastAsia="Calibri"/>
          <w:szCs w:val="20"/>
          <w:lang w:val="es-PY"/>
        </w:rPr>
        <w:t>Socialización y sensibilización en la Estrategia Centro Laboral Saludable en centros laborales a nivel país, llegando a 59 empresas.</w:t>
      </w:r>
    </w:p>
    <w:p w14:paraId="6264ED33" w14:textId="77777777" w:rsidR="00FC22A8" w:rsidRDefault="00FC22A8" w:rsidP="00FC22A8">
      <w:pPr>
        <w:tabs>
          <w:tab w:val="left" w:pos="567"/>
        </w:tabs>
        <w:spacing w:after="0" w:line="240" w:lineRule="auto"/>
        <w:jc w:val="both"/>
        <w:rPr>
          <w:rFonts w:eastAsia="Calibri"/>
          <w:szCs w:val="20"/>
          <w:lang w:val="es-PY"/>
        </w:rPr>
      </w:pPr>
      <w:r w:rsidRPr="00A416EB">
        <w:rPr>
          <w:rFonts w:eastAsia="Calibri"/>
          <w:szCs w:val="20"/>
          <w:lang w:val="es-PY"/>
        </w:rPr>
        <w:t>Implementación de la estrategia en 9 centros laborales, en diferentes etapas: FAPASA, Hospedaje Jasy Róga, Santa Clara S.A., Cooperativa Multiactiva de Ahorro y Crédito, Consumo y Servicios, Cargill Agropecuaria SACI, Fujikura Automotive Paraguay S.A., AGB Constructora S.A., PROSEGUR y Gobernación de Paraguarí.</w:t>
      </w:r>
    </w:p>
    <w:p w14:paraId="4B865788" w14:textId="77777777" w:rsidR="00FC22A8" w:rsidRPr="005A31CA" w:rsidRDefault="00FC22A8" w:rsidP="00FC22A8">
      <w:pPr>
        <w:tabs>
          <w:tab w:val="left" w:pos="567"/>
        </w:tabs>
        <w:spacing w:after="0" w:line="240" w:lineRule="auto"/>
        <w:jc w:val="both"/>
        <w:rPr>
          <w:rFonts w:eastAsia="Calibri"/>
          <w:sz w:val="10"/>
          <w:szCs w:val="10"/>
          <w:lang w:val="es-PY"/>
        </w:rPr>
      </w:pPr>
    </w:p>
    <w:p w14:paraId="54ECBA5B" w14:textId="77B2DFB3" w:rsidR="00FC22A8" w:rsidRDefault="00FC22A8" w:rsidP="00FC22A8">
      <w:pPr>
        <w:tabs>
          <w:tab w:val="left" w:pos="567"/>
        </w:tabs>
        <w:spacing w:after="0" w:line="240" w:lineRule="auto"/>
        <w:contextualSpacing/>
        <w:jc w:val="both"/>
        <w:rPr>
          <w:rFonts w:eastAsia="Calibri"/>
          <w:b/>
          <w:szCs w:val="20"/>
          <w:lang w:val="es-PY"/>
        </w:rPr>
      </w:pPr>
      <w:r w:rsidRPr="00A416EB">
        <w:rPr>
          <w:rFonts w:eastAsia="Calibri"/>
          <w:b/>
          <w:szCs w:val="20"/>
          <w:lang w:val="es-PY"/>
        </w:rPr>
        <w:t>DESARROLLO DE COMPETENCIAS EN PROMOCIÓN DE LA SALUD EN LOS RECURSOS HUMANOS</w:t>
      </w:r>
    </w:p>
    <w:p w14:paraId="4680B900" w14:textId="77777777" w:rsidR="00FC22A8" w:rsidRPr="005A31CA" w:rsidRDefault="00FC22A8" w:rsidP="00FC22A8">
      <w:pPr>
        <w:tabs>
          <w:tab w:val="left" w:pos="567"/>
        </w:tabs>
        <w:spacing w:after="0" w:line="240" w:lineRule="auto"/>
        <w:contextualSpacing/>
        <w:jc w:val="both"/>
        <w:rPr>
          <w:rFonts w:eastAsia="Calibri"/>
          <w:b/>
          <w:sz w:val="10"/>
          <w:szCs w:val="10"/>
          <w:lang w:val="es-PY"/>
        </w:rPr>
      </w:pPr>
    </w:p>
    <w:p w14:paraId="18B6266E" w14:textId="77777777" w:rsidR="00FC22A8" w:rsidRPr="00A416EB" w:rsidRDefault="00FC22A8" w:rsidP="00FC22A8">
      <w:pPr>
        <w:numPr>
          <w:ilvl w:val="0"/>
          <w:numId w:val="17"/>
        </w:numPr>
        <w:tabs>
          <w:tab w:val="left" w:pos="567"/>
        </w:tabs>
        <w:spacing w:after="0" w:line="240" w:lineRule="auto"/>
        <w:ind w:left="142" w:hanging="142"/>
        <w:contextualSpacing/>
        <w:jc w:val="both"/>
        <w:rPr>
          <w:rFonts w:eastAsia="Calibri"/>
          <w:szCs w:val="20"/>
          <w:lang w:val="es-PY"/>
        </w:rPr>
      </w:pPr>
      <w:r w:rsidRPr="00A416EB">
        <w:rPr>
          <w:rFonts w:eastAsia="Calibri"/>
          <w:szCs w:val="20"/>
          <w:lang w:val="es-PY"/>
        </w:rPr>
        <w:t>4701 personas (público interno y externo) capacitadas en la estrategia familia saludable.</w:t>
      </w:r>
    </w:p>
    <w:p w14:paraId="1EECF69F" w14:textId="77777777" w:rsidR="00FC22A8" w:rsidRPr="00A416EB" w:rsidRDefault="00FC22A8" w:rsidP="00FC22A8">
      <w:pPr>
        <w:numPr>
          <w:ilvl w:val="0"/>
          <w:numId w:val="17"/>
        </w:numPr>
        <w:tabs>
          <w:tab w:val="left" w:pos="567"/>
        </w:tabs>
        <w:spacing w:after="0" w:line="240" w:lineRule="auto"/>
        <w:ind w:left="142" w:hanging="142"/>
        <w:contextualSpacing/>
        <w:jc w:val="both"/>
        <w:rPr>
          <w:rFonts w:eastAsia="Calibri"/>
          <w:szCs w:val="20"/>
          <w:lang w:val="es-PY"/>
        </w:rPr>
      </w:pPr>
      <w:r w:rsidRPr="00A416EB">
        <w:rPr>
          <w:rFonts w:eastAsia="Calibri"/>
          <w:szCs w:val="20"/>
          <w:lang w:val="es-PY"/>
        </w:rPr>
        <w:t>20 referentes de Promoción de la Salud de la XI Región Sanitaria – Central, capacitados en Promoción de la Salud.</w:t>
      </w:r>
    </w:p>
    <w:p w14:paraId="03BDEF22" w14:textId="566F3C6B" w:rsidR="00FC22A8" w:rsidRDefault="00FC22A8" w:rsidP="00FC22A8">
      <w:pPr>
        <w:numPr>
          <w:ilvl w:val="0"/>
          <w:numId w:val="17"/>
        </w:numPr>
        <w:tabs>
          <w:tab w:val="left" w:pos="142"/>
        </w:tabs>
        <w:spacing w:after="0" w:line="240" w:lineRule="auto"/>
        <w:ind w:left="426" w:hanging="426"/>
        <w:contextualSpacing/>
        <w:jc w:val="both"/>
        <w:rPr>
          <w:rFonts w:eastAsia="Calibri"/>
          <w:szCs w:val="20"/>
          <w:lang w:val="es-PY"/>
        </w:rPr>
      </w:pPr>
      <w:r w:rsidRPr="00A416EB">
        <w:rPr>
          <w:rFonts w:eastAsia="Calibri"/>
          <w:szCs w:val="20"/>
          <w:lang w:val="es-PY"/>
        </w:rPr>
        <w:t>1 curso</w:t>
      </w:r>
      <w:r>
        <w:rPr>
          <w:rFonts w:eastAsia="Calibri"/>
          <w:szCs w:val="20"/>
          <w:lang w:val="es-PY"/>
        </w:rPr>
        <w:t xml:space="preserve"> </w:t>
      </w:r>
      <w:r w:rsidRPr="00A416EB">
        <w:rPr>
          <w:rFonts w:eastAsia="Calibri"/>
          <w:szCs w:val="20"/>
          <w:lang w:val="es-PY"/>
        </w:rPr>
        <w:t>de Promoción de Salud diseñado en la plataforma de OPS/OMS.</w:t>
      </w:r>
    </w:p>
    <w:p w14:paraId="288B95C3" w14:textId="77777777" w:rsidR="00FC22A8" w:rsidRPr="005A31CA" w:rsidRDefault="00FC22A8" w:rsidP="00FC22A8">
      <w:pPr>
        <w:tabs>
          <w:tab w:val="left" w:pos="567"/>
        </w:tabs>
        <w:spacing w:after="0" w:line="240" w:lineRule="auto"/>
        <w:contextualSpacing/>
        <w:jc w:val="both"/>
        <w:rPr>
          <w:rFonts w:eastAsia="Calibri"/>
          <w:sz w:val="10"/>
          <w:szCs w:val="10"/>
          <w:lang w:val="es-PY"/>
        </w:rPr>
      </w:pPr>
    </w:p>
    <w:p w14:paraId="0DFD2C57" w14:textId="77777777" w:rsidR="00FC22A8" w:rsidRDefault="00FC22A8" w:rsidP="00FC22A8">
      <w:pPr>
        <w:tabs>
          <w:tab w:val="left" w:pos="567"/>
        </w:tabs>
        <w:spacing w:after="0" w:line="240" w:lineRule="auto"/>
        <w:contextualSpacing/>
        <w:jc w:val="both"/>
        <w:rPr>
          <w:b/>
          <w:bCs/>
        </w:rPr>
      </w:pPr>
      <w:r w:rsidRPr="00EB6912">
        <w:rPr>
          <w:b/>
          <w:bCs/>
        </w:rPr>
        <w:t>COMUNICACIÓN EN SALUD</w:t>
      </w:r>
    </w:p>
    <w:p w14:paraId="4CF49472" w14:textId="77777777" w:rsidR="00FC22A8" w:rsidRPr="005A31CA" w:rsidRDefault="00FC22A8" w:rsidP="00FC22A8">
      <w:pPr>
        <w:tabs>
          <w:tab w:val="left" w:pos="567"/>
        </w:tabs>
        <w:spacing w:after="0" w:line="240" w:lineRule="auto"/>
        <w:contextualSpacing/>
        <w:jc w:val="both"/>
        <w:rPr>
          <w:b/>
          <w:bCs/>
          <w:sz w:val="10"/>
          <w:szCs w:val="10"/>
        </w:rPr>
      </w:pPr>
    </w:p>
    <w:p w14:paraId="449AB88F" w14:textId="77777777" w:rsidR="00FC22A8" w:rsidRPr="00FD69DA" w:rsidRDefault="00FC22A8" w:rsidP="00FC22A8">
      <w:pPr>
        <w:tabs>
          <w:tab w:val="left" w:pos="567"/>
        </w:tabs>
        <w:spacing w:after="0" w:line="240" w:lineRule="auto"/>
        <w:contextualSpacing/>
        <w:jc w:val="both"/>
        <w:rPr>
          <w:rFonts w:eastAsia="Calibri"/>
          <w:szCs w:val="20"/>
          <w:lang w:val="es-MX"/>
        </w:rPr>
      </w:pPr>
      <w:r>
        <w:rPr>
          <w:rFonts w:eastAsia="Calibri"/>
          <w:szCs w:val="20"/>
          <w:lang w:val="es-PY"/>
        </w:rPr>
        <w:t>S</w:t>
      </w:r>
      <w:r w:rsidRPr="00FD69DA">
        <w:rPr>
          <w:rFonts w:eastAsia="Calibri"/>
          <w:szCs w:val="20"/>
          <w:lang w:val="es-MX"/>
        </w:rPr>
        <w:t xml:space="preserve">e destaca grandes avances en materia de comunicación externa y sistematización de la información como las campañas realizadas durante el 2025, entre ellas; la de arbovirosis (dengue), inmunización, semana del prematuro, octubre rosa, noviembre azul, violencia, alimentación saludable y actividad física. </w:t>
      </w:r>
    </w:p>
    <w:p w14:paraId="7EA70D34" w14:textId="77777777" w:rsidR="00FC22A8" w:rsidRDefault="00FC22A8" w:rsidP="00FC22A8">
      <w:pPr>
        <w:tabs>
          <w:tab w:val="left" w:pos="567"/>
        </w:tabs>
        <w:spacing w:after="0" w:line="240" w:lineRule="auto"/>
        <w:contextualSpacing/>
        <w:jc w:val="both"/>
        <w:rPr>
          <w:rFonts w:eastAsia="Calibri"/>
          <w:szCs w:val="20"/>
          <w:lang w:val="es-MX"/>
        </w:rPr>
      </w:pPr>
      <w:r w:rsidRPr="00FD69DA">
        <w:rPr>
          <w:rFonts w:eastAsia="Calibri"/>
          <w:szCs w:val="20"/>
          <w:lang w:val="es-MX"/>
        </w:rPr>
        <w:t xml:space="preserve">Se ha logrado el alcance del 85 % de los desafíos propuestos en el año anterior. </w:t>
      </w:r>
    </w:p>
    <w:p w14:paraId="69B27A20" w14:textId="77777777" w:rsidR="00FC22A8" w:rsidRPr="0026620A" w:rsidRDefault="00FC22A8" w:rsidP="00FC22A8">
      <w:pPr>
        <w:tabs>
          <w:tab w:val="left" w:pos="567"/>
        </w:tabs>
        <w:spacing w:after="0" w:line="240" w:lineRule="auto"/>
        <w:jc w:val="both"/>
        <w:rPr>
          <w:rFonts w:eastAsia="Calibri"/>
          <w:szCs w:val="20"/>
          <w:lang w:val="es-MX"/>
        </w:rPr>
      </w:pPr>
      <w:r w:rsidRPr="00F65F88">
        <w:rPr>
          <w:rFonts w:eastAsia="Calibri"/>
          <w:szCs w:val="20"/>
          <w:lang w:val="es-MX"/>
        </w:rPr>
        <w:t xml:space="preserve">Así también, en materia de Comunicación Interna, la DGCS alcanzó el 100% de su meta de fortalecimiento institucional, a través de capacitaciones presenciales en las 18 regiones sanitarias, con un total de 397 </w:t>
      </w:r>
      <w:r w:rsidRPr="0026620A">
        <w:rPr>
          <w:rFonts w:eastAsia="Calibri"/>
          <w:szCs w:val="20"/>
          <w:lang w:val="es-MX"/>
        </w:rPr>
        <w:t>participantes. Se logró un diagnóstico preciso de las necesidades comunicacionales locales y se optimizó la red de comunicación integrada del MSPyBS, adaptando las estrategias al contexto de cada región con los siguientes resultados:</w:t>
      </w:r>
    </w:p>
    <w:p w14:paraId="3BC4B374" w14:textId="37C66D30" w:rsidR="00913DE5" w:rsidRPr="00423960" w:rsidRDefault="00913DE5" w:rsidP="00423960">
      <w:pPr>
        <w:spacing w:after="0" w:line="360" w:lineRule="auto"/>
        <w:jc w:val="both"/>
        <w:rPr>
          <w:lang w:val="es-PY"/>
        </w:rPr>
      </w:pPr>
      <w:r>
        <w:rPr>
          <w:highlight w:val="yellow"/>
        </w:rPr>
        <w:br w:type="page"/>
      </w:r>
    </w:p>
    <w:p w14:paraId="1525D7CD" w14:textId="77777777" w:rsidR="00F17183" w:rsidRDefault="00F17183" w:rsidP="00BB18A5">
      <w:pPr>
        <w:pStyle w:val="Ttulo2"/>
        <w:keepLines/>
        <w:spacing w:before="200" w:line="276" w:lineRule="auto"/>
        <w:jc w:val="center"/>
        <w:rPr>
          <w:rFonts w:eastAsiaTheme="majorEastAsia"/>
          <w:bCs/>
          <w:color w:val="00529C"/>
          <w:sz w:val="24"/>
          <w:szCs w:val="26"/>
          <w:lang w:val="es-PY" w:eastAsia="en-US"/>
        </w:rPr>
      </w:pPr>
      <w:bookmarkStart w:id="797" w:name="_Toc402350396"/>
      <w:bookmarkStart w:id="798" w:name="_Toc402354148"/>
      <w:bookmarkStart w:id="799" w:name="_Toc402355074"/>
      <w:bookmarkStart w:id="800" w:name="_Toc402355538"/>
      <w:bookmarkStart w:id="801" w:name="_Toc402356378"/>
      <w:bookmarkStart w:id="802" w:name="_Toc402357218"/>
      <w:bookmarkStart w:id="803" w:name="_Toc402358057"/>
      <w:bookmarkStart w:id="804" w:name="_Toc402350397"/>
      <w:bookmarkStart w:id="805" w:name="_Toc402354149"/>
      <w:bookmarkStart w:id="806" w:name="_Toc402355075"/>
      <w:bookmarkStart w:id="807" w:name="_Toc402355539"/>
      <w:bookmarkStart w:id="808" w:name="_Toc402356379"/>
      <w:bookmarkStart w:id="809" w:name="_Toc402357219"/>
      <w:bookmarkStart w:id="810" w:name="_Toc402358058"/>
      <w:bookmarkStart w:id="811" w:name="_Toc402357695"/>
      <w:bookmarkStart w:id="812" w:name="_Toc24386784"/>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p>
    <w:p w14:paraId="62EA602D" w14:textId="77777777" w:rsidR="00F17183" w:rsidRDefault="00F17183" w:rsidP="00BB18A5">
      <w:pPr>
        <w:pStyle w:val="Ttulo2"/>
        <w:keepLines/>
        <w:spacing w:before="200" w:line="276" w:lineRule="auto"/>
        <w:jc w:val="center"/>
        <w:rPr>
          <w:rFonts w:eastAsiaTheme="majorEastAsia"/>
          <w:bCs/>
          <w:color w:val="00529C"/>
          <w:sz w:val="24"/>
          <w:szCs w:val="26"/>
          <w:lang w:val="es-PY" w:eastAsia="en-US"/>
        </w:rPr>
      </w:pPr>
    </w:p>
    <w:p w14:paraId="2E53E7D7" w14:textId="77777777" w:rsidR="00F17183" w:rsidRDefault="00F17183" w:rsidP="00BB18A5">
      <w:pPr>
        <w:pStyle w:val="Ttulo2"/>
        <w:keepLines/>
        <w:spacing w:before="200" w:line="276" w:lineRule="auto"/>
        <w:jc w:val="center"/>
        <w:rPr>
          <w:rFonts w:eastAsiaTheme="majorEastAsia"/>
          <w:bCs/>
          <w:color w:val="00529C"/>
          <w:sz w:val="24"/>
          <w:szCs w:val="26"/>
          <w:lang w:val="es-PY" w:eastAsia="en-US"/>
        </w:rPr>
      </w:pPr>
    </w:p>
    <w:p w14:paraId="042547C7" w14:textId="5478835A" w:rsidR="00BB18A5" w:rsidRDefault="00BB18A5" w:rsidP="00BB18A5">
      <w:pPr>
        <w:pStyle w:val="Ttulo2"/>
        <w:keepLines/>
        <w:spacing w:before="200" w:line="276" w:lineRule="auto"/>
        <w:jc w:val="center"/>
        <w:rPr>
          <w:rFonts w:eastAsiaTheme="majorEastAsia"/>
          <w:bCs/>
          <w:color w:val="00529C"/>
          <w:sz w:val="44"/>
          <w:szCs w:val="44"/>
          <w:lang w:val="es-PY" w:eastAsia="en-US"/>
        </w:rPr>
      </w:pPr>
      <w:bookmarkStart w:id="813" w:name="_Toc220402595"/>
      <w:r w:rsidRPr="00F17183">
        <w:rPr>
          <w:rFonts w:eastAsiaTheme="majorEastAsia"/>
          <w:bCs/>
          <w:color w:val="00529C"/>
          <w:sz w:val="44"/>
          <w:szCs w:val="44"/>
          <w:lang w:val="es-PY" w:eastAsia="en-US"/>
        </w:rPr>
        <w:t>ANEXO</w:t>
      </w:r>
      <w:bookmarkEnd w:id="811"/>
      <w:r w:rsidRPr="00F17183">
        <w:rPr>
          <w:rFonts w:eastAsiaTheme="majorEastAsia"/>
          <w:bCs/>
          <w:color w:val="00529C"/>
          <w:sz w:val="44"/>
          <w:szCs w:val="44"/>
          <w:lang w:val="es-PY" w:eastAsia="en-US"/>
        </w:rPr>
        <w:t xml:space="preserve"> I</w:t>
      </w:r>
      <w:bookmarkEnd w:id="812"/>
      <w:bookmarkEnd w:id="813"/>
    </w:p>
    <w:p w14:paraId="048DC96F" w14:textId="77777777" w:rsidR="00F17183" w:rsidRDefault="00F17183" w:rsidP="00F17183">
      <w:pPr>
        <w:rPr>
          <w:lang w:val="es-PY"/>
        </w:rPr>
      </w:pPr>
    </w:p>
    <w:p w14:paraId="094E4372" w14:textId="77777777" w:rsidR="00F17183" w:rsidRDefault="00F17183" w:rsidP="00F17183">
      <w:pPr>
        <w:rPr>
          <w:lang w:val="es-PY"/>
        </w:rPr>
      </w:pPr>
    </w:p>
    <w:p w14:paraId="786301E9" w14:textId="77777777" w:rsidR="00F17183" w:rsidRDefault="00F17183" w:rsidP="00F17183">
      <w:pPr>
        <w:rPr>
          <w:lang w:val="es-PY"/>
        </w:rPr>
      </w:pPr>
    </w:p>
    <w:p w14:paraId="71352AC2" w14:textId="77777777" w:rsidR="00F17183" w:rsidRPr="00F17183" w:rsidRDefault="00F17183" w:rsidP="00F17183">
      <w:pPr>
        <w:rPr>
          <w:lang w:val="es-PY"/>
        </w:rPr>
      </w:pPr>
    </w:p>
    <w:p w14:paraId="253F6095" w14:textId="61C41AC8" w:rsidR="00BB18A5" w:rsidRPr="00F17183" w:rsidRDefault="00BB18A5" w:rsidP="00BB18A5">
      <w:pPr>
        <w:pStyle w:val="Ttulo4"/>
        <w:numPr>
          <w:ilvl w:val="0"/>
          <w:numId w:val="10"/>
        </w:numPr>
        <w:jc w:val="both"/>
        <w:rPr>
          <w:rFonts w:ascii="Times New Roman" w:hAnsi="Times New Roman" w:cs="Times New Roman"/>
          <w:i w:val="0"/>
          <w:color w:val="00529C"/>
          <w:sz w:val="28"/>
          <w:szCs w:val="28"/>
        </w:rPr>
      </w:pPr>
      <w:bookmarkStart w:id="814" w:name="_Toc402357696"/>
      <w:bookmarkStart w:id="815" w:name="_Toc24386785"/>
      <w:bookmarkStart w:id="816" w:name="_Toc220402596"/>
      <w:r w:rsidRPr="00F17183">
        <w:rPr>
          <w:rFonts w:ascii="Times New Roman" w:hAnsi="Times New Roman" w:cs="Times New Roman"/>
          <w:i w:val="0"/>
          <w:color w:val="00529C"/>
          <w:sz w:val="28"/>
          <w:szCs w:val="28"/>
        </w:rPr>
        <w:t>Logros Obtenidos por Estructura P</w:t>
      </w:r>
      <w:bookmarkEnd w:id="814"/>
      <w:r w:rsidRPr="00F17183">
        <w:rPr>
          <w:rFonts w:ascii="Times New Roman" w:hAnsi="Times New Roman" w:cs="Times New Roman"/>
          <w:i w:val="0"/>
          <w:color w:val="00529C"/>
          <w:sz w:val="28"/>
          <w:szCs w:val="28"/>
        </w:rPr>
        <w:t>rogramática</w:t>
      </w:r>
      <w:bookmarkEnd w:id="815"/>
      <w:r w:rsidR="004662C9" w:rsidRPr="00F17183">
        <w:rPr>
          <w:rFonts w:ascii="Times New Roman" w:hAnsi="Times New Roman" w:cs="Times New Roman"/>
          <w:i w:val="0"/>
          <w:color w:val="00529C"/>
          <w:sz w:val="28"/>
          <w:szCs w:val="28"/>
        </w:rPr>
        <w:t xml:space="preserve"> Presupuestaria</w:t>
      </w:r>
      <w:bookmarkEnd w:id="816"/>
    </w:p>
    <w:p w14:paraId="0568C804" w14:textId="77777777" w:rsidR="007D69B2" w:rsidRPr="00F17183" w:rsidRDefault="007D69B2">
      <w:pPr>
        <w:spacing w:after="0" w:line="360" w:lineRule="auto"/>
        <w:ind w:left="1276" w:hanging="482"/>
        <w:jc w:val="both"/>
        <w:rPr>
          <w:bCs/>
          <w:sz w:val="28"/>
          <w:szCs w:val="28"/>
          <w:highlight w:val="yellow"/>
        </w:rPr>
      </w:pPr>
    </w:p>
    <w:p w14:paraId="5567C2C0" w14:textId="77777777" w:rsidR="00F17183" w:rsidRPr="00F17183" w:rsidRDefault="00F17183">
      <w:pPr>
        <w:spacing w:after="0" w:line="360" w:lineRule="auto"/>
        <w:ind w:left="1276" w:hanging="482"/>
        <w:jc w:val="both"/>
        <w:rPr>
          <w:bCs/>
          <w:sz w:val="44"/>
          <w:szCs w:val="44"/>
          <w:highlight w:val="yellow"/>
        </w:rPr>
      </w:pPr>
    </w:p>
    <w:p w14:paraId="0D4B6A81" w14:textId="77777777" w:rsidR="00F17183" w:rsidRDefault="00F17183">
      <w:pPr>
        <w:spacing w:after="0" w:line="360" w:lineRule="auto"/>
        <w:ind w:left="1276" w:hanging="482"/>
        <w:jc w:val="both"/>
        <w:rPr>
          <w:bCs/>
          <w:szCs w:val="23"/>
          <w:highlight w:val="yellow"/>
        </w:rPr>
      </w:pPr>
    </w:p>
    <w:p w14:paraId="53316CAC" w14:textId="77777777" w:rsidR="00F17183" w:rsidRDefault="00F17183">
      <w:pPr>
        <w:spacing w:after="0" w:line="360" w:lineRule="auto"/>
        <w:ind w:left="1276" w:hanging="482"/>
        <w:jc w:val="both"/>
        <w:rPr>
          <w:bCs/>
          <w:szCs w:val="23"/>
          <w:highlight w:val="yellow"/>
        </w:rPr>
      </w:pPr>
    </w:p>
    <w:p w14:paraId="25875246" w14:textId="77777777" w:rsidR="00F17183" w:rsidRDefault="00F17183">
      <w:pPr>
        <w:spacing w:after="0" w:line="360" w:lineRule="auto"/>
        <w:ind w:left="1276" w:hanging="482"/>
        <w:jc w:val="both"/>
        <w:rPr>
          <w:bCs/>
          <w:szCs w:val="23"/>
          <w:highlight w:val="yellow"/>
        </w:rPr>
      </w:pPr>
    </w:p>
    <w:p w14:paraId="551694D0" w14:textId="77777777" w:rsidR="00F17183" w:rsidRDefault="00F17183">
      <w:pPr>
        <w:spacing w:after="0" w:line="360" w:lineRule="auto"/>
        <w:ind w:left="1276" w:hanging="482"/>
        <w:jc w:val="both"/>
        <w:rPr>
          <w:bCs/>
          <w:szCs w:val="23"/>
          <w:highlight w:val="yellow"/>
        </w:rPr>
      </w:pPr>
    </w:p>
    <w:p w14:paraId="7A329A9E" w14:textId="77777777" w:rsidR="00F17183" w:rsidRDefault="00F17183">
      <w:pPr>
        <w:spacing w:after="0" w:line="360" w:lineRule="auto"/>
        <w:ind w:left="1276" w:hanging="482"/>
        <w:jc w:val="both"/>
        <w:rPr>
          <w:bCs/>
          <w:szCs w:val="23"/>
          <w:highlight w:val="yellow"/>
        </w:rPr>
      </w:pPr>
    </w:p>
    <w:p w14:paraId="532960B2" w14:textId="77777777" w:rsidR="00F17183" w:rsidRDefault="00F17183">
      <w:pPr>
        <w:spacing w:after="0" w:line="360" w:lineRule="auto"/>
        <w:ind w:left="1276" w:hanging="482"/>
        <w:jc w:val="both"/>
        <w:rPr>
          <w:bCs/>
          <w:szCs w:val="23"/>
          <w:highlight w:val="yellow"/>
        </w:rPr>
      </w:pPr>
    </w:p>
    <w:p w14:paraId="736A8D43" w14:textId="77777777" w:rsidR="00F17183" w:rsidRDefault="00F17183">
      <w:pPr>
        <w:spacing w:after="0" w:line="360" w:lineRule="auto"/>
        <w:ind w:left="1276" w:hanging="482"/>
        <w:jc w:val="both"/>
        <w:rPr>
          <w:bCs/>
          <w:szCs w:val="23"/>
          <w:highlight w:val="yellow"/>
        </w:rPr>
      </w:pPr>
    </w:p>
    <w:p w14:paraId="7F020592" w14:textId="77777777" w:rsidR="00F17183" w:rsidRDefault="00F17183">
      <w:pPr>
        <w:spacing w:after="0" w:line="360" w:lineRule="auto"/>
        <w:ind w:left="1276" w:hanging="482"/>
        <w:jc w:val="both"/>
        <w:rPr>
          <w:bCs/>
          <w:szCs w:val="23"/>
          <w:highlight w:val="yellow"/>
        </w:rPr>
      </w:pPr>
    </w:p>
    <w:p w14:paraId="7A65FE61" w14:textId="77777777" w:rsidR="00F17183" w:rsidRDefault="00F17183">
      <w:pPr>
        <w:spacing w:after="0" w:line="360" w:lineRule="auto"/>
        <w:ind w:left="1276" w:hanging="482"/>
        <w:jc w:val="both"/>
        <w:rPr>
          <w:bCs/>
          <w:szCs w:val="23"/>
          <w:highlight w:val="yellow"/>
        </w:rPr>
      </w:pPr>
    </w:p>
    <w:p w14:paraId="539BA0D5" w14:textId="77777777" w:rsidR="00F17183" w:rsidRDefault="00F17183">
      <w:pPr>
        <w:spacing w:after="0" w:line="360" w:lineRule="auto"/>
        <w:ind w:left="1276" w:hanging="482"/>
        <w:jc w:val="both"/>
        <w:rPr>
          <w:bCs/>
          <w:szCs w:val="23"/>
          <w:highlight w:val="yellow"/>
        </w:rPr>
      </w:pPr>
    </w:p>
    <w:p w14:paraId="556DA075" w14:textId="77777777" w:rsidR="00F17183" w:rsidRDefault="00F17183">
      <w:pPr>
        <w:spacing w:after="0" w:line="360" w:lineRule="auto"/>
        <w:ind w:left="1276" w:hanging="482"/>
        <w:jc w:val="both"/>
        <w:rPr>
          <w:bCs/>
          <w:szCs w:val="23"/>
          <w:highlight w:val="yellow"/>
        </w:rPr>
      </w:pPr>
    </w:p>
    <w:p w14:paraId="66078078" w14:textId="77777777" w:rsidR="00F17183" w:rsidRDefault="00F17183">
      <w:pPr>
        <w:spacing w:after="0" w:line="360" w:lineRule="auto"/>
        <w:ind w:left="1276" w:hanging="482"/>
        <w:jc w:val="both"/>
        <w:rPr>
          <w:bCs/>
          <w:szCs w:val="23"/>
          <w:highlight w:val="yellow"/>
        </w:rPr>
      </w:pPr>
    </w:p>
    <w:p w14:paraId="59DBB437" w14:textId="77777777" w:rsidR="00F17183" w:rsidRDefault="00F17183">
      <w:pPr>
        <w:spacing w:after="0" w:line="360" w:lineRule="auto"/>
        <w:ind w:left="1276" w:hanging="482"/>
        <w:jc w:val="both"/>
        <w:rPr>
          <w:bCs/>
          <w:szCs w:val="23"/>
          <w:highlight w:val="yellow"/>
        </w:rPr>
      </w:pPr>
    </w:p>
    <w:p w14:paraId="123C566B" w14:textId="77777777" w:rsidR="00F17183" w:rsidRDefault="00F17183">
      <w:pPr>
        <w:spacing w:after="0" w:line="360" w:lineRule="auto"/>
        <w:ind w:left="1276" w:hanging="482"/>
        <w:jc w:val="both"/>
        <w:rPr>
          <w:bCs/>
          <w:szCs w:val="23"/>
          <w:highlight w:val="yellow"/>
        </w:rPr>
      </w:pPr>
    </w:p>
    <w:p w14:paraId="697E9BA8" w14:textId="77777777" w:rsidR="00F17183" w:rsidRDefault="00F17183">
      <w:pPr>
        <w:spacing w:after="0" w:line="360" w:lineRule="auto"/>
        <w:ind w:left="1276" w:hanging="482"/>
        <w:jc w:val="both"/>
        <w:rPr>
          <w:bCs/>
          <w:szCs w:val="23"/>
          <w:highlight w:val="yellow"/>
        </w:rPr>
      </w:pPr>
    </w:p>
    <w:p w14:paraId="51913273" w14:textId="77777777" w:rsidR="00F17183" w:rsidRDefault="00F17183">
      <w:pPr>
        <w:spacing w:after="0" w:line="360" w:lineRule="auto"/>
        <w:ind w:left="1276" w:hanging="482"/>
        <w:jc w:val="both"/>
        <w:rPr>
          <w:bCs/>
          <w:szCs w:val="23"/>
          <w:highlight w:val="yellow"/>
        </w:rPr>
      </w:pPr>
    </w:p>
    <w:p w14:paraId="4E01BA89" w14:textId="77777777" w:rsidR="00F17183" w:rsidRDefault="00F17183">
      <w:pPr>
        <w:spacing w:after="0" w:line="360" w:lineRule="auto"/>
        <w:ind w:left="1276" w:hanging="482"/>
        <w:jc w:val="both"/>
        <w:rPr>
          <w:bCs/>
          <w:szCs w:val="23"/>
          <w:highlight w:val="yellow"/>
        </w:rPr>
      </w:pPr>
    </w:p>
    <w:p w14:paraId="0525936E" w14:textId="77777777" w:rsidR="00F17183" w:rsidRDefault="00F17183">
      <w:pPr>
        <w:spacing w:after="0" w:line="360" w:lineRule="auto"/>
        <w:ind w:left="1276" w:hanging="482"/>
        <w:jc w:val="both"/>
        <w:rPr>
          <w:bCs/>
          <w:szCs w:val="23"/>
          <w:highlight w:val="yellow"/>
        </w:rPr>
      </w:pPr>
    </w:p>
    <w:p w14:paraId="6CE12D36" w14:textId="77777777" w:rsidR="00F17183" w:rsidRDefault="00F17183">
      <w:pPr>
        <w:spacing w:after="0" w:line="360" w:lineRule="auto"/>
        <w:ind w:left="1276" w:hanging="482"/>
        <w:jc w:val="both"/>
        <w:rPr>
          <w:bCs/>
          <w:szCs w:val="23"/>
          <w:highlight w:val="yellow"/>
        </w:rPr>
      </w:pPr>
    </w:p>
    <w:p w14:paraId="52660F7E" w14:textId="77777777" w:rsidR="00F17183" w:rsidRDefault="00F17183">
      <w:pPr>
        <w:spacing w:after="0" w:line="360" w:lineRule="auto"/>
        <w:ind w:left="1276" w:hanging="482"/>
        <w:jc w:val="both"/>
        <w:rPr>
          <w:bCs/>
          <w:szCs w:val="23"/>
          <w:highlight w:val="yellow"/>
        </w:rPr>
      </w:pPr>
    </w:p>
    <w:p w14:paraId="67F1620E" w14:textId="77777777" w:rsidR="00F17183" w:rsidRDefault="00F17183">
      <w:pPr>
        <w:spacing w:after="0" w:line="360" w:lineRule="auto"/>
        <w:ind w:left="1276" w:hanging="482"/>
        <w:jc w:val="both"/>
        <w:rPr>
          <w:bCs/>
          <w:szCs w:val="23"/>
          <w:highlight w:val="yellow"/>
        </w:rPr>
      </w:pPr>
    </w:p>
    <w:p w14:paraId="1FCDEF3D" w14:textId="2AC3BE9D" w:rsidR="00427099" w:rsidRPr="00FC10FF" w:rsidRDefault="00427099" w:rsidP="00427099">
      <w:pPr>
        <w:pStyle w:val="Ttulo2"/>
        <w:keepLines/>
        <w:spacing w:before="200" w:line="276" w:lineRule="auto"/>
        <w:jc w:val="center"/>
        <w:rPr>
          <w:rFonts w:eastAsiaTheme="majorEastAsia"/>
          <w:bCs/>
          <w:color w:val="00529C"/>
          <w:sz w:val="24"/>
          <w:szCs w:val="26"/>
          <w:lang w:val="es-PY" w:eastAsia="en-US"/>
        </w:rPr>
      </w:pPr>
      <w:bookmarkStart w:id="817" w:name="_Toc24459643"/>
      <w:bookmarkStart w:id="818" w:name="_Toc220402597"/>
      <w:r w:rsidRPr="00FC10FF">
        <w:rPr>
          <w:rFonts w:eastAsiaTheme="majorEastAsia"/>
          <w:bCs/>
          <w:color w:val="00529C"/>
          <w:sz w:val="24"/>
          <w:szCs w:val="26"/>
          <w:lang w:val="es-PY" w:eastAsia="en-US"/>
        </w:rPr>
        <w:t>ANEXO II</w:t>
      </w:r>
      <w:bookmarkEnd w:id="817"/>
      <w:bookmarkEnd w:id="818"/>
    </w:p>
    <w:p w14:paraId="3A5FA9F6" w14:textId="77777777" w:rsidR="00427099" w:rsidRDefault="00427099" w:rsidP="00427099">
      <w:pPr>
        <w:pStyle w:val="Ttulo4"/>
        <w:numPr>
          <w:ilvl w:val="0"/>
          <w:numId w:val="10"/>
        </w:numPr>
        <w:jc w:val="both"/>
        <w:rPr>
          <w:rFonts w:ascii="Times New Roman" w:hAnsi="Times New Roman" w:cs="Times New Roman"/>
          <w:i w:val="0"/>
          <w:color w:val="00529C"/>
          <w:sz w:val="24"/>
        </w:rPr>
      </w:pPr>
      <w:bookmarkStart w:id="819" w:name="_Toc24459644"/>
      <w:bookmarkStart w:id="820" w:name="_Toc220402598"/>
      <w:r w:rsidRPr="00FC10FF">
        <w:rPr>
          <w:rFonts w:ascii="Times New Roman" w:hAnsi="Times New Roman" w:cs="Times New Roman"/>
          <w:i w:val="0"/>
          <w:color w:val="00529C"/>
          <w:sz w:val="24"/>
        </w:rPr>
        <w:t>Recursos Humanos</w:t>
      </w:r>
      <w:bookmarkEnd w:id="819"/>
      <w:bookmarkEnd w:id="820"/>
    </w:p>
    <w:p w14:paraId="5CF4A2B9" w14:textId="77777777" w:rsidR="00717A64" w:rsidRPr="00717A64" w:rsidRDefault="00717A64" w:rsidP="00717A64">
      <w:pPr>
        <w:rPr>
          <w:sz w:val="10"/>
          <w:szCs w:val="10"/>
        </w:rPr>
      </w:pPr>
    </w:p>
    <w:p w14:paraId="6A0F24D6" w14:textId="4163F70D" w:rsidR="0093651E" w:rsidRPr="000A36F5" w:rsidRDefault="00717A64" w:rsidP="00F17183">
      <w:pPr>
        <w:autoSpaceDE w:val="0"/>
        <w:autoSpaceDN w:val="0"/>
        <w:adjustRightInd w:val="0"/>
        <w:spacing w:after="0" w:line="240" w:lineRule="auto"/>
        <w:contextualSpacing/>
        <w:jc w:val="both"/>
        <w:rPr>
          <w:bCs/>
          <w:sz w:val="16"/>
          <w:szCs w:val="23"/>
          <w:highlight w:val="yellow"/>
        </w:rPr>
      </w:pPr>
      <w:r w:rsidRPr="00717A64">
        <w:rPr>
          <w:noProof/>
        </w:rPr>
        <w:drawing>
          <wp:inline distT="0" distB="0" distL="0" distR="0" wp14:anchorId="3309828B" wp14:editId="7D74CAD9">
            <wp:extent cx="3867150" cy="2200426"/>
            <wp:effectExtent l="0" t="0" r="0" b="9525"/>
            <wp:docPr id="133371936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6642" cy="2211517"/>
                    </a:xfrm>
                    <a:prstGeom prst="rect">
                      <a:avLst/>
                    </a:prstGeom>
                    <a:noFill/>
                    <a:ln>
                      <a:noFill/>
                    </a:ln>
                  </pic:spPr>
                </pic:pic>
              </a:graphicData>
            </a:graphic>
          </wp:inline>
        </w:drawing>
      </w:r>
    </w:p>
    <w:p w14:paraId="620516F6" w14:textId="4156C664" w:rsidR="0093651E" w:rsidRPr="000A36F5" w:rsidRDefault="0093651E" w:rsidP="00F87B1C">
      <w:pPr>
        <w:autoSpaceDE w:val="0"/>
        <w:autoSpaceDN w:val="0"/>
        <w:adjustRightInd w:val="0"/>
        <w:spacing w:after="0" w:line="240" w:lineRule="auto"/>
        <w:contextualSpacing/>
        <w:jc w:val="center"/>
        <w:rPr>
          <w:b/>
          <w:bCs/>
          <w:sz w:val="22"/>
          <w:highlight w:val="yellow"/>
        </w:rPr>
      </w:pPr>
    </w:p>
    <w:p w14:paraId="0F345D36" w14:textId="77777777" w:rsidR="00FA3782" w:rsidRPr="009E74BA" w:rsidRDefault="00FA3782" w:rsidP="00FA3782">
      <w:pPr>
        <w:pStyle w:val="Ttulo4"/>
        <w:numPr>
          <w:ilvl w:val="0"/>
          <w:numId w:val="10"/>
        </w:numPr>
        <w:jc w:val="both"/>
        <w:rPr>
          <w:rFonts w:ascii="Times New Roman" w:hAnsi="Times New Roman" w:cs="Times New Roman"/>
          <w:i w:val="0"/>
          <w:color w:val="00529C"/>
          <w:sz w:val="24"/>
        </w:rPr>
      </w:pPr>
      <w:bookmarkStart w:id="821" w:name="_Toc25043090"/>
      <w:bookmarkStart w:id="822" w:name="_Toc220402599"/>
      <w:r w:rsidRPr="009E74BA">
        <w:rPr>
          <w:rFonts w:ascii="Times New Roman" w:hAnsi="Times New Roman" w:cs="Times New Roman"/>
          <w:i w:val="0"/>
          <w:color w:val="00529C"/>
          <w:sz w:val="24"/>
        </w:rPr>
        <w:t>Cantidad de Personal de Blanco</w:t>
      </w:r>
      <w:bookmarkEnd w:id="821"/>
      <w:bookmarkEnd w:id="822"/>
    </w:p>
    <w:p w14:paraId="66E893CB" w14:textId="6FA7B426" w:rsidR="00FA3782" w:rsidRDefault="00717A64" w:rsidP="00794B78">
      <w:pPr>
        <w:autoSpaceDE w:val="0"/>
        <w:autoSpaceDN w:val="0"/>
        <w:adjustRightInd w:val="0"/>
        <w:spacing w:before="120" w:after="0" w:line="240" w:lineRule="auto"/>
        <w:contextualSpacing/>
        <w:jc w:val="both"/>
        <w:rPr>
          <w:bCs/>
          <w:szCs w:val="23"/>
        </w:rPr>
      </w:pPr>
      <w:r w:rsidRPr="00717A64">
        <w:rPr>
          <w:noProof/>
        </w:rPr>
        <w:drawing>
          <wp:inline distT="0" distB="0" distL="0" distR="0" wp14:anchorId="33122AAB" wp14:editId="38BCF7B7">
            <wp:extent cx="6201383" cy="2571750"/>
            <wp:effectExtent l="0" t="0" r="9525" b="0"/>
            <wp:docPr id="44489775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16156" cy="2577877"/>
                    </a:xfrm>
                    <a:prstGeom prst="rect">
                      <a:avLst/>
                    </a:prstGeom>
                    <a:noFill/>
                    <a:ln>
                      <a:noFill/>
                    </a:ln>
                  </pic:spPr>
                </pic:pic>
              </a:graphicData>
            </a:graphic>
          </wp:inline>
        </w:drawing>
      </w:r>
    </w:p>
    <w:p w14:paraId="0A785397" w14:textId="77777777" w:rsidR="00717A64" w:rsidRDefault="00717A64" w:rsidP="00794B78">
      <w:pPr>
        <w:autoSpaceDE w:val="0"/>
        <w:autoSpaceDN w:val="0"/>
        <w:adjustRightInd w:val="0"/>
        <w:spacing w:before="120" w:after="0" w:line="240" w:lineRule="auto"/>
        <w:contextualSpacing/>
        <w:jc w:val="both"/>
        <w:rPr>
          <w:bCs/>
          <w:szCs w:val="23"/>
        </w:rPr>
      </w:pPr>
    </w:p>
    <w:p w14:paraId="2DE1FDC5" w14:textId="77777777" w:rsidR="00717A64" w:rsidRDefault="00717A64" w:rsidP="00794B78">
      <w:pPr>
        <w:autoSpaceDE w:val="0"/>
        <w:autoSpaceDN w:val="0"/>
        <w:adjustRightInd w:val="0"/>
        <w:spacing w:before="120" w:after="0" w:line="240" w:lineRule="auto"/>
        <w:contextualSpacing/>
        <w:jc w:val="both"/>
        <w:rPr>
          <w:bCs/>
          <w:szCs w:val="23"/>
        </w:rPr>
      </w:pPr>
    </w:p>
    <w:p w14:paraId="3F152866" w14:textId="77777777" w:rsidR="00717A64" w:rsidRDefault="00717A64" w:rsidP="00794B78">
      <w:pPr>
        <w:autoSpaceDE w:val="0"/>
        <w:autoSpaceDN w:val="0"/>
        <w:adjustRightInd w:val="0"/>
        <w:spacing w:before="120" w:after="0" w:line="240" w:lineRule="auto"/>
        <w:contextualSpacing/>
        <w:jc w:val="both"/>
        <w:rPr>
          <w:bCs/>
          <w:szCs w:val="23"/>
        </w:rPr>
      </w:pPr>
    </w:p>
    <w:p w14:paraId="6C49D771" w14:textId="77777777" w:rsidR="00717A64" w:rsidRDefault="00717A64" w:rsidP="00794B78">
      <w:pPr>
        <w:autoSpaceDE w:val="0"/>
        <w:autoSpaceDN w:val="0"/>
        <w:adjustRightInd w:val="0"/>
        <w:spacing w:before="120" w:after="0" w:line="240" w:lineRule="auto"/>
        <w:contextualSpacing/>
        <w:jc w:val="both"/>
        <w:rPr>
          <w:bCs/>
          <w:szCs w:val="23"/>
        </w:rPr>
      </w:pPr>
    </w:p>
    <w:p w14:paraId="4AD52A09" w14:textId="77777777" w:rsidR="00717A64" w:rsidRDefault="00717A64" w:rsidP="00794B78">
      <w:pPr>
        <w:autoSpaceDE w:val="0"/>
        <w:autoSpaceDN w:val="0"/>
        <w:adjustRightInd w:val="0"/>
        <w:spacing w:before="120" w:after="0" w:line="240" w:lineRule="auto"/>
        <w:contextualSpacing/>
        <w:jc w:val="both"/>
        <w:rPr>
          <w:bCs/>
          <w:szCs w:val="23"/>
        </w:rPr>
      </w:pPr>
    </w:p>
    <w:p w14:paraId="43A1CD6F" w14:textId="77777777" w:rsidR="00717A64" w:rsidRDefault="00717A64" w:rsidP="00794B78">
      <w:pPr>
        <w:autoSpaceDE w:val="0"/>
        <w:autoSpaceDN w:val="0"/>
        <w:adjustRightInd w:val="0"/>
        <w:spacing w:before="120" w:after="0" w:line="240" w:lineRule="auto"/>
        <w:contextualSpacing/>
        <w:jc w:val="both"/>
        <w:rPr>
          <w:bCs/>
          <w:szCs w:val="23"/>
        </w:rPr>
      </w:pPr>
    </w:p>
    <w:p w14:paraId="4BFDE915" w14:textId="77777777" w:rsidR="00717A64" w:rsidRDefault="00717A64" w:rsidP="00794B78">
      <w:pPr>
        <w:autoSpaceDE w:val="0"/>
        <w:autoSpaceDN w:val="0"/>
        <w:adjustRightInd w:val="0"/>
        <w:spacing w:before="120" w:after="0" w:line="240" w:lineRule="auto"/>
        <w:contextualSpacing/>
        <w:jc w:val="both"/>
        <w:rPr>
          <w:bCs/>
          <w:szCs w:val="23"/>
        </w:rPr>
      </w:pPr>
    </w:p>
    <w:p w14:paraId="3FF813AD" w14:textId="77777777" w:rsidR="00717A64" w:rsidRDefault="00717A64" w:rsidP="00794B78">
      <w:pPr>
        <w:autoSpaceDE w:val="0"/>
        <w:autoSpaceDN w:val="0"/>
        <w:adjustRightInd w:val="0"/>
        <w:spacing w:before="120" w:after="0" w:line="240" w:lineRule="auto"/>
        <w:contextualSpacing/>
        <w:jc w:val="both"/>
        <w:rPr>
          <w:bCs/>
          <w:szCs w:val="23"/>
        </w:rPr>
      </w:pPr>
    </w:p>
    <w:p w14:paraId="2BC87158" w14:textId="77777777" w:rsidR="00F17183" w:rsidRDefault="00F17183" w:rsidP="00794B78">
      <w:pPr>
        <w:autoSpaceDE w:val="0"/>
        <w:autoSpaceDN w:val="0"/>
        <w:adjustRightInd w:val="0"/>
        <w:spacing w:before="120" w:after="0" w:line="240" w:lineRule="auto"/>
        <w:contextualSpacing/>
        <w:jc w:val="both"/>
        <w:rPr>
          <w:bCs/>
          <w:szCs w:val="23"/>
        </w:rPr>
      </w:pPr>
    </w:p>
    <w:p w14:paraId="78581C50" w14:textId="77777777" w:rsidR="00F17183" w:rsidRDefault="00F17183" w:rsidP="00794B78">
      <w:pPr>
        <w:autoSpaceDE w:val="0"/>
        <w:autoSpaceDN w:val="0"/>
        <w:adjustRightInd w:val="0"/>
        <w:spacing w:before="120" w:after="0" w:line="240" w:lineRule="auto"/>
        <w:contextualSpacing/>
        <w:jc w:val="both"/>
        <w:rPr>
          <w:bCs/>
          <w:szCs w:val="23"/>
        </w:rPr>
      </w:pPr>
    </w:p>
    <w:p w14:paraId="5539CE32" w14:textId="77777777" w:rsidR="00717A64" w:rsidRDefault="00717A64" w:rsidP="00794B78">
      <w:pPr>
        <w:autoSpaceDE w:val="0"/>
        <w:autoSpaceDN w:val="0"/>
        <w:adjustRightInd w:val="0"/>
        <w:spacing w:before="120" w:after="0" w:line="240" w:lineRule="auto"/>
        <w:contextualSpacing/>
        <w:jc w:val="both"/>
        <w:rPr>
          <w:bCs/>
          <w:szCs w:val="23"/>
        </w:rPr>
      </w:pPr>
    </w:p>
    <w:p w14:paraId="7AD6FE54" w14:textId="77777777" w:rsidR="00717A64" w:rsidRDefault="00717A64" w:rsidP="00794B78">
      <w:pPr>
        <w:autoSpaceDE w:val="0"/>
        <w:autoSpaceDN w:val="0"/>
        <w:adjustRightInd w:val="0"/>
        <w:spacing w:before="120" w:after="0" w:line="240" w:lineRule="auto"/>
        <w:contextualSpacing/>
        <w:jc w:val="both"/>
        <w:rPr>
          <w:bCs/>
          <w:szCs w:val="23"/>
        </w:rPr>
      </w:pPr>
    </w:p>
    <w:p w14:paraId="2CC9DF25" w14:textId="18A512EB" w:rsidR="00DC62ED" w:rsidRDefault="00DC62ED" w:rsidP="00DC62ED">
      <w:pPr>
        <w:pStyle w:val="Ttulo4"/>
        <w:numPr>
          <w:ilvl w:val="0"/>
          <w:numId w:val="10"/>
        </w:numPr>
        <w:jc w:val="both"/>
        <w:rPr>
          <w:rFonts w:ascii="Times New Roman" w:hAnsi="Times New Roman" w:cs="Times New Roman"/>
          <w:i w:val="0"/>
          <w:color w:val="00529C"/>
          <w:sz w:val="24"/>
        </w:rPr>
      </w:pPr>
      <w:bookmarkStart w:id="823" w:name="_Toc220402600"/>
      <w:r w:rsidRPr="00C30110">
        <w:rPr>
          <w:rFonts w:ascii="Times New Roman" w:hAnsi="Times New Roman" w:cs="Times New Roman"/>
          <w:i w:val="0"/>
          <w:color w:val="00529C"/>
          <w:sz w:val="24"/>
        </w:rPr>
        <w:t xml:space="preserve">ID </w:t>
      </w:r>
      <w:r w:rsidR="005765C3">
        <w:rPr>
          <w:rFonts w:ascii="Times New Roman" w:hAnsi="Times New Roman" w:cs="Times New Roman"/>
          <w:i w:val="0"/>
          <w:color w:val="00529C"/>
          <w:sz w:val="24"/>
        </w:rPr>
        <w:t>504</w:t>
      </w:r>
      <w:r w:rsidR="0042579C" w:rsidRPr="00C30110">
        <w:rPr>
          <w:rFonts w:ascii="Times New Roman" w:hAnsi="Times New Roman" w:cs="Times New Roman"/>
          <w:i w:val="0"/>
          <w:color w:val="00529C"/>
          <w:sz w:val="24"/>
        </w:rPr>
        <w:t xml:space="preserve"> “Tasa de Recursos Humanos en Salud por Vínculos del MSPYBS por cada 1.000 Habitantes”</w:t>
      </w:r>
      <w:bookmarkEnd w:id="823"/>
    </w:p>
    <w:p w14:paraId="2FF6EE23" w14:textId="77777777" w:rsidR="00717A64" w:rsidRPr="00F17183" w:rsidRDefault="00717A64" w:rsidP="00717A64">
      <w:pPr>
        <w:rPr>
          <w:sz w:val="10"/>
          <w:szCs w:val="10"/>
        </w:rPr>
      </w:pPr>
    </w:p>
    <w:p w14:paraId="1494E428" w14:textId="13BD1930" w:rsidR="00F57030" w:rsidRPr="00DC62ED" w:rsidRDefault="00717A64" w:rsidP="00717A64">
      <w:pPr>
        <w:ind w:firstLine="426"/>
      </w:pPr>
      <w:r w:rsidRPr="00717A64">
        <w:rPr>
          <w:noProof/>
        </w:rPr>
        <w:drawing>
          <wp:inline distT="0" distB="0" distL="0" distR="0" wp14:anchorId="2E11A0D4" wp14:editId="58015E96">
            <wp:extent cx="4419600" cy="2354288"/>
            <wp:effectExtent l="0" t="0" r="0" b="8255"/>
            <wp:docPr id="122045557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37022" cy="2363568"/>
                    </a:xfrm>
                    <a:prstGeom prst="rect">
                      <a:avLst/>
                    </a:prstGeom>
                    <a:noFill/>
                    <a:ln>
                      <a:noFill/>
                    </a:ln>
                  </pic:spPr>
                </pic:pic>
              </a:graphicData>
            </a:graphic>
          </wp:inline>
        </w:drawing>
      </w:r>
    </w:p>
    <w:p w14:paraId="2F019F42" w14:textId="77777777" w:rsidR="00D01A08" w:rsidRPr="000A36F5" w:rsidRDefault="00D01A08">
      <w:pPr>
        <w:spacing w:after="0" w:line="360" w:lineRule="auto"/>
        <w:ind w:left="1276" w:hanging="482"/>
        <w:jc w:val="both"/>
        <w:rPr>
          <w:highlight w:val="yellow"/>
        </w:rPr>
      </w:pPr>
      <w:r w:rsidRPr="000A36F5">
        <w:rPr>
          <w:highlight w:val="yellow"/>
        </w:rPr>
        <w:br w:type="page"/>
      </w:r>
    </w:p>
    <w:p w14:paraId="6A419139" w14:textId="77777777" w:rsidR="00F17183" w:rsidRDefault="00F17183" w:rsidP="008125AB">
      <w:pPr>
        <w:pStyle w:val="Ttulo2"/>
        <w:keepLines/>
        <w:spacing w:before="200" w:line="276" w:lineRule="auto"/>
        <w:jc w:val="center"/>
        <w:rPr>
          <w:rFonts w:eastAsiaTheme="majorEastAsia"/>
          <w:bCs/>
          <w:color w:val="00529C"/>
          <w:sz w:val="24"/>
          <w:szCs w:val="26"/>
          <w:lang w:val="es-PY" w:eastAsia="en-US"/>
        </w:rPr>
      </w:pPr>
      <w:bookmarkStart w:id="824" w:name="_Toc24386791"/>
      <w:bookmarkStart w:id="825" w:name="_Toc54786890"/>
    </w:p>
    <w:p w14:paraId="24C82834" w14:textId="77777777" w:rsidR="00F17183" w:rsidRDefault="00F17183" w:rsidP="008125AB">
      <w:pPr>
        <w:pStyle w:val="Ttulo2"/>
        <w:keepLines/>
        <w:spacing w:before="200" w:line="276" w:lineRule="auto"/>
        <w:jc w:val="center"/>
        <w:rPr>
          <w:rFonts w:eastAsiaTheme="majorEastAsia"/>
          <w:bCs/>
          <w:color w:val="00529C"/>
          <w:sz w:val="24"/>
          <w:szCs w:val="26"/>
          <w:lang w:val="es-PY" w:eastAsia="en-US"/>
        </w:rPr>
      </w:pPr>
    </w:p>
    <w:p w14:paraId="7E59EE80" w14:textId="77777777" w:rsidR="00F17183" w:rsidRDefault="00F17183" w:rsidP="008125AB">
      <w:pPr>
        <w:pStyle w:val="Ttulo2"/>
        <w:keepLines/>
        <w:spacing w:before="200" w:line="276" w:lineRule="auto"/>
        <w:jc w:val="center"/>
        <w:rPr>
          <w:rFonts w:eastAsiaTheme="majorEastAsia"/>
          <w:bCs/>
          <w:color w:val="00529C"/>
          <w:sz w:val="24"/>
          <w:szCs w:val="26"/>
          <w:lang w:val="es-PY" w:eastAsia="en-US"/>
        </w:rPr>
      </w:pPr>
    </w:p>
    <w:p w14:paraId="69E70926" w14:textId="77777777" w:rsidR="00F17183" w:rsidRDefault="00F17183" w:rsidP="008125AB">
      <w:pPr>
        <w:pStyle w:val="Ttulo2"/>
        <w:keepLines/>
        <w:spacing w:before="200" w:line="276" w:lineRule="auto"/>
        <w:jc w:val="center"/>
        <w:rPr>
          <w:rFonts w:eastAsiaTheme="majorEastAsia"/>
          <w:bCs/>
          <w:color w:val="00529C"/>
          <w:sz w:val="24"/>
          <w:szCs w:val="26"/>
          <w:lang w:val="es-PY" w:eastAsia="en-US"/>
        </w:rPr>
      </w:pPr>
    </w:p>
    <w:p w14:paraId="6C4780D0" w14:textId="5B1FB170" w:rsidR="008125AB" w:rsidRPr="00ED77BB" w:rsidRDefault="008125AB" w:rsidP="008125AB">
      <w:pPr>
        <w:pStyle w:val="Ttulo2"/>
        <w:keepLines/>
        <w:spacing w:before="200" w:line="276" w:lineRule="auto"/>
        <w:jc w:val="center"/>
        <w:rPr>
          <w:rFonts w:eastAsiaTheme="majorEastAsia"/>
          <w:bCs/>
          <w:color w:val="00529C"/>
          <w:sz w:val="40"/>
          <w:szCs w:val="40"/>
          <w:lang w:val="es-PY" w:eastAsia="en-US"/>
        </w:rPr>
      </w:pPr>
      <w:bookmarkStart w:id="826" w:name="_Toc220402601"/>
      <w:r w:rsidRPr="00ED77BB">
        <w:rPr>
          <w:rFonts w:eastAsiaTheme="majorEastAsia"/>
          <w:bCs/>
          <w:color w:val="00529C"/>
          <w:sz w:val="40"/>
          <w:szCs w:val="40"/>
          <w:lang w:val="es-PY" w:eastAsia="en-US"/>
        </w:rPr>
        <w:t xml:space="preserve">ANEXO </w:t>
      </w:r>
      <w:bookmarkEnd w:id="824"/>
      <w:bookmarkEnd w:id="825"/>
      <w:r w:rsidR="002D69FC" w:rsidRPr="00ED77BB">
        <w:rPr>
          <w:rFonts w:eastAsiaTheme="majorEastAsia"/>
          <w:bCs/>
          <w:color w:val="00529C"/>
          <w:sz w:val="40"/>
          <w:szCs w:val="40"/>
          <w:lang w:val="es-PY" w:eastAsia="en-US"/>
        </w:rPr>
        <w:t>III</w:t>
      </w:r>
      <w:bookmarkEnd w:id="826"/>
    </w:p>
    <w:p w14:paraId="4C16365B" w14:textId="77777777" w:rsidR="00F17183" w:rsidRPr="00ED77BB" w:rsidRDefault="00F17183" w:rsidP="00F17183">
      <w:pPr>
        <w:rPr>
          <w:sz w:val="40"/>
          <w:szCs w:val="40"/>
          <w:lang w:val="es-PY"/>
        </w:rPr>
      </w:pPr>
    </w:p>
    <w:p w14:paraId="25AFEE31" w14:textId="77777777" w:rsidR="00F17183" w:rsidRPr="00ED77BB" w:rsidRDefault="00F17183" w:rsidP="00F17183">
      <w:pPr>
        <w:rPr>
          <w:sz w:val="40"/>
          <w:szCs w:val="40"/>
          <w:lang w:val="es-PY"/>
        </w:rPr>
      </w:pPr>
    </w:p>
    <w:p w14:paraId="77240F19" w14:textId="77777777" w:rsidR="00F17183" w:rsidRPr="00ED77BB" w:rsidRDefault="00F17183" w:rsidP="00F17183">
      <w:pPr>
        <w:rPr>
          <w:sz w:val="40"/>
          <w:szCs w:val="40"/>
          <w:lang w:val="es-PY"/>
        </w:rPr>
      </w:pPr>
    </w:p>
    <w:p w14:paraId="079B2A22" w14:textId="77777777" w:rsidR="00F17183" w:rsidRPr="00ED77BB" w:rsidRDefault="00F17183" w:rsidP="00F17183">
      <w:pPr>
        <w:pStyle w:val="Ttulo4"/>
        <w:numPr>
          <w:ilvl w:val="0"/>
          <w:numId w:val="10"/>
        </w:numPr>
        <w:ind w:left="432" w:firstLine="556"/>
        <w:rPr>
          <w:rFonts w:ascii="Times New Roman" w:hAnsi="Times New Roman" w:cs="Times New Roman"/>
          <w:i w:val="0"/>
          <w:iCs w:val="0"/>
          <w:color w:val="00529C"/>
          <w:sz w:val="40"/>
          <w:szCs w:val="40"/>
          <w:lang w:val="es-PY"/>
        </w:rPr>
      </w:pPr>
      <w:bookmarkStart w:id="827" w:name="_Toc94171118"/>
      <w:bookmarkStart w:id="828" w:name="_Toc125482421"/>
      <w:bookmarkStart w:id="829" w:name="_Toc157514298"/>
      <w:bookmarkStart w:id="830" w:name="_Toc188542256"/>
      <w:bookmarkStart w:id="831" w:name="_Toc220402602"/>
      <w:r w:rsidRPr="00ED77BB">
        <w:rPr>
          <w:rFonts w:ascii="Times New Roman" w:hAnsi="Times New Roman" w:cs="Times New Roman"/>
          <w:i w:val="0"/>
          <w:iCs w:val="0"/>
          <w:color w:val="00529C"/>
          <w:sz w:val="40"/>
          <w:szCs w:val="40"/>
          <w:lang w:val="es-PY"/>
        </w:rPr>
        <w:t>Avance de la Población Efectiva</w:t>
      </w:r>
      <w:bookmarkEnd w:id="827"/>
      <w:bookmarkEnd w:id="828"/>
      <w:bookmarkEnd w:id="829"/>
      <w:bookmarkEnd w:id="830"/>
      <w:bookmarkEnd w:id="831"/>
    </w:p>
    <w:p w14:paraId="49095F55" w14:textId="77777777" w:rsidR="00F17183" w:rsidRDefault="00F17183" w:rsidP="00F17183">
      <w:pPr>
        <w:rPr>
          <w:lang w:val="es-PY"/>
        </w:rPr>
      </w:pPr>
    </w:p>
    <w:p w14:paraId="5278B937" w14:textId="77777777" w:rsidR="00F17183" w:rsidRDefault="00F17183" w:rsidP="00F17183">
      <w:pPr>
        <w:rPr>
          <w:lang w:val="es-PY"/>
        </w:rPr>
      </w:pPr>
    </w:p>
    <w:p w14:paraId="7A19D76B" w14:textId="77777777" w:rsidR="00F17183" w:rsidRDefault="00F17183" w:rsidP="00F17183">
      <w:pPr>
        <w:rPr>
          <w:lang w:val="es-PY"/>
        </w:rPr>
      </w:pPr>
    </w:p>
    <w:p w14:paraId="1C0B6047" w14:textId="77777777" w:rsidR="00F17183" w:rsidRDefault="00F17183" w:rsidP="00F17183">
      <w:pPr>
        <w:rPr>
          <w:lang w:val="es-PY"/>
        </w:rPr>
      </w:pPr>
    </w:p>
    <w:p w14:paraId="74DCBD24" w14:textId="77777777" w:rsidR="00F17183" w:rsidRDefault="00F17183" w:rsidP="00F17183">
      <w:pPr>
        <w:rPr>
          <w:lang w:val="es-PY"/>
        </w:rPr>
      </w:pPr>
    </w:p>
    <w:p w14:paraId="64CF123C" w14:textId="77777777" w:rsidR="00F17183" w:rsidRDefault="00F17183" w:rsidP="00F17183">
      <w:pPr>
        <w:rPr>
          <w:lang w:val="es-PY"/>
        </w:rPr>
      </w:pPr>
    </w:p>
    <w:p w14:paraId="2502DA35" w14:textId="77777777" w:rsidR="00F17183" w:rsidRDefault="00F17183" w:rsidP="00F17183">
      <w:pPr>
        <w:rPr>
          <w:lang w:val="es-PY"/>
        </w:rPr>
      </w:pPr>
    </w:p>
    <w:p w14:paraId="55996E4A" w14:textId="77777777" w:rsidR="00F17183" w:rsidRDefault="00F17183" w:rsidP="00F17183">
      <w:pPr>
        <w:rPr>
          <w:lang w:val="es-PY"/>
        </w:rPr>
      </w:pPr>
    </w:p>
    <w:p w14:paraId="101682A3" w14:textId="77777777" w:rsidR="00F17183" w:rsidRDefault="00F17183" w:rsidP="00F17183">
      <w:pPr>
        <w:rPr>
          <w:lang w:val="es-PY"/>
        </w:rPr>
      </w:pPr>
    </w:p>
    <w:p w14:paraId="3B00E7D5" w14:textId="77777777" w:rsidR="00F17183" w:rsidRDefault="00F17183" w:rsidP="00F17183">
      <w:pPr>
        <w:rPr>
          <w:lang w:val="es-PY"/>
        </w:rPr>
      </w:pPr>
    </w:p>
    <w:p w14:paraId="74B4FE96" w14:textId="77777777" w:rsidR="00F17183" w:rsidRDefault="00F17183" w:rsidP="00F17183">
      <w:pPr>
        <w:rPr>
          <w:lang w:val="es-PY"/>
        </w:rPr>
      </w:pPr>
    </w:p>
    <w:p w14:paraId="7B52E63D" w14:textId="77777777" w:rsidR="00F17183" w:rsidRDefault="00F17183" w:rsidP="00F17183">
      <w:pPr>
        <w:rPr>
          <w:lang w:val="es-PY"/>
        </w:rPr>
      </w:pPr>
    </w:p>
    <w:p w14:paraId="5EDAFAAA" w14:textId="77777777" w:rsidR="00F17183" w:rsidRDefault="00F17183" w:rsidP="00F17183">
      <w:pPr>
        <w:rPr>
          <w:lang w:val="es-PY"/>
        </w:rPr>
      </w:pPr>
    </w:p>
    <w:p w14:paraId="547D3DC2" w14:textId="77777777" w:rsidR="00F17183" w:rsidRDefault="00F17183" w:rsidP="00F17183">
      <w:pPr>
        <w:rPr>
          <w:lang w:val="es-PY"/>
        </w:rPr>
      </w:pPr>
    </w:p>
    <w:p w14:paraId="05544C97" w14:textId="77777777" w:rsidR="00F17183" w:rsidRDefault="00F17183" w:rsidP="00F17183">
      <w:pPr>
        <w:rPr>
          <w:lang w:val="es-PY"/>
        </w:rPr>
      </w:pPr>
    </w:p>
    <w:p w14:paraId="51DB7F45" w14:textId="77777777" w:rsidR="00F17183" w:rsidRDefault="00F17183" w:rsidP="00F17183">
      <w:pPr>
        <w:rPr>
          <w:lang w:val="es-PY"/>
        </w:rPr>
      </w:pPr>
    </w:p>
    <w:p w14:paraId="77CA11F5" w14:textId="77777777" w:rsidR="00F17183" w:rsidRDefault="00F17183" w:rsidP="00F17183">
      <w:pPr>
        <w:rPr>
          <w:lang w:val="es-PY"/>
        </w:rPr>
      </w:pPr>
    </w:p>
    <w:p w14:paraId="47B3A050" w14:textId="77777777" w:rsidR="00F17183" w:rsidRDefault="00F17183" w:rsidP="00F17183">
      <w:pPr>
        <w:rPr>
          <w:lang w:val="es-PY"/>
        </w:rPr>
      </w:pPr>
    </w:p>
    <w:p w14:paraId="6B94F3ED" w14:textId="77777777" w:rsidR="00F17183" w:rsidRDefault="00F17183" w:rsidP="00F17183">
      <w:pPr>
        <w:rPr>
          <w:lang w:val="es-PY"/>
        </w:rPr>
      </w:pPr>
    </w:p>
    <w:p w14:paraId="675D2C2D" w14:textId="77777777" w:rsidR="00F17183" w:rsidRDefault="00F17183" w:rsidP="00F17183">
      <w:pPr>
        <w:rPr>
          <w:lang w:val="es-PY"/>
        </w:rPr>
      </w:pPr>
    </w:p>
    <w:p w14:paraId="5CDD079A" w14:textId="77777777" w:rsidR="00F17183" w:rsidRPr="00ED77BB" w:rsidRDefault="00F17183" w:rsidP="00F17183">
      <w:pPr>
        <w:pStyle w:val="Ttulo2"/>
        <w:keepLines/>
        <w:spacing w:before="200" w:line="276" w:lineRule="auto"/>
        <w:jc w:val="center"/>
        <w:rPr>
          <w:rFonts w:eastAsiaTheme="majorEastAsia"/>
          <w:bCs/>
          <w:color w:val="00529C"/>
          <w:sz w:val="40"/>
          <w:szCs w:val="40"/>
          <w:lang w:val="es-PY" w:eastAsia="en-US"/>
        </w:rPr>
      </w:pPr>
      <w:bookmarkStart w:id="832" w:name="_Toc125482426"/>
      <w:bookmarkStart w:id="833" w:name="_Toc157514303"/>
      <w:bookmarkStart w:id="834" w:name="_Toc188542257"/>
      <w:bookmarkStart w:id="835" w:name="_Toc220402603"/>
      <w:r w:rsidRPr="00ED77BB">
        <w:rPr>
          <w:rFonts w:eastAsiaTheme="majorEastAsia"/>
          <w:bCs/>
          <w:color w:val="00529C"/>
          <w:sz w:val="40"/>
          <w:szCs w:val="40"/>
          <w:lang w:val="es-PY" w:eastAsia="en-US"/>
        </w:rPr>
        <w:t>ANEXO IV</w:t>
      </w:r>
      <w:bookmarkEnd w:id="832"/>
      <w:bookmarkEnd w:id="833"/>
      <w:bookmarkEnd w:id="834"/>
      <w:bookmarkEnd w:id="835"/>
    </w:p>
    <w:p w14:paraId="26798320" w14:textId="77777777" w:rsidR="00F17183" w:rsidRPr="00ED77BB" w:rsidRDefault="00F17183" w:rsidP="00F17183">
      <w:pPr>
        <w:spacing w:after="0" w:line="360" w:lineRule="auto"/>
        <w:ind w:left="1276" w:hanging="482"/>
        <w:jc w:val="both"/>
        <w:rPr>
          <w:rFonts w:eastAsiaTheme="majorEastAsia"/>
          <w:b/>
          <w:bCs/>
          <w:color w:val="00529C"/>
          <w:sz w:val="40"/>
          <w:szCs w:val="40"/>
          <w:lang w:val="es-PY"/>
        </w:rPr>
      </w:pPr>
    </w:p>
    <w:p w14:paraId="1EA836D9" w14:textId="77777777" w:rsidR="00F17183" w:rsidRPr="00ED77BB" w:rsidRDefault="00F17183" w:rsidP="00F17183">
      <w:pPr>
        <w:spacing w:after="0" w:line="360" w:lineRule="auto"/>
        <w:ind w:left="1276" w:hanging="482"/>
        <w:jc w:val="both"/>
        <w:rPr>
          <w:rFonts w:eastAsiaTheme="majorEastAsia"/>
          <w:b/>
          <w:bCs/>
          <w:color w:val="00529C"/>
          <w:sz w:val="40"/>
          <w:szCs w:val="40"/>
          <w:lang w:val="es-PY"/>
        </w:rPr>
      </w:pPr>
    </w:p>
    <w:p w14:paraId="5942742D" w14:textId="77777777" w:rsidR="00F17183" w:rsidRPr="00ED77BB" w:rsidRDefault="00F17183" w:rsidP="00F17183">
      <w:pPr>
        <w:spacing w:after="0" w:line="360" w:lineRule="auto"/>
        <w:ind w:left="1276" w:hanging="482"/>
        <w:jc w:val="both"/>
        <w:rPr>
          <w:rFonts w:eastAsiaTheme="majorEastAsia"/>
          <w:b/>
          <w:bCs/>
          <w:color w:val="00529C"/>
          <w:sz w:val="40"/>
          <w:szCs w:val="40"/>
          <w:lang w:val="es-PY"/>
        </w:rPr>
      </w:pPr>
    </w:p>
    <w:p w14:paraId="656FB930" w14:textId="77777777" w:rsidR="00F17183" w:rsidRPr="00ED77BB" w:rsidRDefault="00F17183" w:rsidP="00F17183">
      <w:pPr>
        <w:pStyle w:val="Ttulo4"/>
        <w:numPr>
          <w:ilvl w:val="0"/>
          <w:numId w:val="24"/>
        </w:numPr>
        <w:ind w:left="432" w:firstLine="698"/>
        <w:jc w:val="both"/>
        <w:rPr>
          <w:rFonts w:ascii="Times New Roman" w:hAnsi="Times New Roman" w:cs="Times New Roman"/>
          <w:i w:val="0"/>
          <w:iCs w:val="0"/>
          <w:color w:val="00529C"/>
          <w:sz w:val="40"/>
          <w:szCs w:val="40"/>
          <w:lang w:val="es-PY"/>
        </w:rPr>
      </w:pPr>
      <w:bookmarkStart w:id="836" w:name="_Toc62811753"/>
      <w:bookmarkStart w:id="837" w:name="_Toc94171123"/>
      <w:bookmarkStart w:id="838" w:name="_Toc125482427"/>
      <w:bookmarkStart w:id="839" w:name="_Toc157514304"/>
      <w:bookmarkStart w:id="840" w:name="_Toc188542258"/>
      <w:bookmarkStart w:id="841" w:name="_Toc220402604"/>
      <w:r w:rsidRPr="00ED77BB">
        <w:rPr>
          <w:rFonts w:ascii="Times New Roman" w:hAnsi="Times New Roman" w:cs="Times New Roman"/>
          <w:i w:val="0"/>
          <w:iCs w:val="0"/>
          <w:color w:val="00529C"/>
          <w:sz w:val="40"/>
          <w:szCs w:val="40"/>
          <w:lang w:val="es-PY"/>
        </w:rPr>
        <w:t>PAI sobre beneficiarios de vacunas</w:t>
      </w:r>
      <w:bookmarkEnd w:id="836"/>
      <w:bookmarkEnd w:id="837"/>
      <w:bookmarkEnd w:id="838"/>
      <w:bookmarkEnd w:id="839"/>
      <w:bookmarkEnd w:id="840"/>
      <w:bookmarkEnd w:id="841"/>
    </w:p>
    <w:p w14:paraId="20265E72" w14:textId="77777777" w:rsidR="00F17183" w:rsidRPr="00ED77BB" w:rsidRDefault="00F17183" w:rsidP="00F17183">
      <w:pPr>
        <w:rPr>
          <w:rFonts w:eastAsiaTheme="majorEastAsia"/>
          <w:b/>
          <w:bCs/>
          <w:color w:val="00529C"/>
          <w:sz w:val="40"/>
          <w:szCs w:val="40"/>
          <w:lang w:val="es-PY"/>
        </w:rPr>
      </w:pPr>
    </w:p>
    <w:p w14:paraId="18C57DFF" w14:textId="77777777" w:rsidR="00F17183" w:rsidRDefault="00F17183" w:rsidP="00F17183">
      <w:pPr>
        <w:rPr>
          <w:lang w:val="es-PY"/>
        </w:rPr>
      </w:pPr>
    </w:p>
    <w:p w14:paraId="10CC3861" w14:textId="77777777" w:rsidR="00F17183" w:rsidRDefault="00F17183" w:rsidP="00F17183">
      <w:pPr>
        <w:rPr>
          <w:lang w:val="es-PY"/>
        </w:rPr>
      </w:pPr>
    </w:p>
    <w:p w14:paraId="3EC169D7" w14:textId="77777777" w:rsidR="00F17183" w:rsidRDefault="00F17183" w:rsidP="00F17183">
      <w:pPr>
        <w:rPr>
          <w:lang w:val="es-PY"/>
        </w:rPr>
      </w:pPr>
    </w:p>
    <w:p w14:paraId="55D7E37E" w14:textId="77777777" w:rsidR="00F17183" w:rsidRDefault="00F17183" w:rsidP="00F17183">
      <w:pPr>
        <w:rPr>
          <w:lang w:val="es-PY"/>
        </w:rPr>
      </w:pPr>
    </w:p>
    <w:p w14:paraId="5542B7A4" w14:textId="77777777" w:rsidR="00F17183" w:rsidRDefault="00F17183" w:rsidP="00F17183">
      <w:pPr>
        <w:rPr>
          <w:lang w:val="es-PY"/>
        </w:rPr>
      </w:pPr>
    </w:p>
    <w:p w14:paraId="429F3430" w14:textId="77777777" w:rsidR="00F17183" w:rsidRDefault="00F17183" w:rsidP="00F17183">
      <w:pPr>
        <w:rPr>
          <w:lang w:val="es-PY"/>
        </w:rPr>
      </w:pPr>
    </w:p>
    <w:p w14:paraId="0FC70412" w14:textId="77777777" w:rsidR="00F17183" w:rsidRDefault="00F17183" w:rsidP="00F17183">
      <w:pPr>
        <w:rPr>
          <w:lang w:val="es-PY"/>
        </w:rPr>
      </w:pPr>
    </w:p>
    <w:p w14:paraId="07EE06E2" w14:textId="77777777" w:rsidR="00F17183" w:rsidRDefault="00F17183" w:rsidP="00F17183">
      <w:pPr>
        <w:rPr>
          <w:lang w:val="es-PY"/>
        </w:rPr>
      </w:pPr>
    </w:p>
    <w:p w14:paraId="55D5808E" w14:textId="77777777" w:rsidR="00F17183" w:rsidRDefault="00F17183" w:rsidP="00F17183">
      <w:pPr>
        <w:rPr>
          <w:lang w:val="es-PY"/>
        </w:rPr>
      </w:pPr>
    </w:p>
    <w:p w14:paraId="0AA4AE9F" w14:textId="77777777" w:rsidR="00F17183" w:rsidRDefault="00F17183" w:rsidP="00F17183">
      <w:pPr>
        <w:rPr>
          <w:lang w:val="es-PY"/>
        </w:rPr>
      </w:pPr>
    </w:p>
    <w:p w14:paraId="22C63A40" w14:textId="77777777" w:rsidR="00F17183" w:rsidRDefault="00F17183" w:rsidP="00F17183">
      <w:pPr>
        <w:rPr>
          <w:lang w:val="es-PY"/>
        </w:rPr>
      </w:pPr>
    </w:p>
    <w:p w14:paraId="3219EA8C" w14:textId="77777777" w:rsidR="00F17183" w:rsidRDefault="00F17183" w:rsidP="00F17183">
      <w:pPr>
        <w:rPr>
          <w:lang w:val="es-PY"/>
        </w:rPr>
      </w:pPr>
    </w:p>
    <w:p w14:paraId="09522AB9" w14:textId="77777777" w:rsidR="00F17183" w:rsidRDefault="00F17183" w:rsidP="00F17183">
      <w:pPr>
        <w:rPr>
          <w:lang w:val="es-PY"/>
        </w:rPr>
      </w:pPr>
    </w:p>
    <w:p w14:paraId="1146014C" w14:textId="77777777" w:rsidR="00F17183" w:rsidRDefault="00F17183" w:rsidP="00F17183">
      <w:pPr>
        <w:rPr>
          <w:lang w:val="es-PY"/>
        </w:rPr>
      </w:pPr>
    </w:p>
    <w:p w14:paraId="061628D6" w14:textId="77777777" w:rsidR="00F17183" w:rsidRDefault="00F17183" w:rsidP="00F17183">
      <w:pPr>
        <w:rPr>
          <w:lang w:val="es-PY"/>
        </w:rPr>
      </w:pPr>
    </w:p>
    <w:p w14:paraId="1C9AD6F7" w14:textId="77777777" w:rsidR="00F17183" w:rsidRDefault="00F17183" w:rsidP="00F17183">
      <w:pPr>
        <w:rPr>
          <w:lang w:val="es-PY"/>
        </w:rPr>
      </w:pPr>
    </w:p>
    <w:p w14:paraId="4CE9C368" w14:textId="77777777" w:rsidR="00F17183" w:rsidRPr="00F17183" w:rsidRDefault="00F17183" w:rsidP="00F17183">
      <w:pPr>
        <w:rPr>
          <w:lang w:val="es-PY"/>
        </w:rPr>
      </w:pPr>
    </w:p>
    <w:p w14:paraId="487EC76C" w14:textId="2A39200E" w:rsidR="00AF5E85" w:rsidRPr="00AF5E85" w:rsidRDefault="00F17183" w:rsidP="00AF5E85">
      <w:r>
        <w:rPr>
          <w:noProof/>
        </w:rPr>
        <mc:AlternateContent>
          <mc:Choice Requires="wps">
            <w:drawing>
              <wp:anchor distT="0" distB="0" distL="114300" distR="114300" simplePos="0" relativeHeight="251669504" behindDoc="0" locked="0" layoutInCell="1" allowOverlap="1" wp14:anchorId="6C8F8416" wp14:editId="58CB3960">
                <wp:simplePos x="0" y="0"/>
                <wp:positionH relativeFrom="margin">
                  <wp:posOffset>0</wp:posOffset>
                </wp:positionH>
                <wp:positionV relativeFrom="paragraph">
                  <wp:posOffset>-635</wp:posOffset>
                </wp:positionV>
                <wp:extent cx="5448300" cy="1682115"/>
                <wp:effectExtent l="0" t="0" r="19050" b="13335"/>
                <wp:wrapNone/>
                <wp:docPr id="203462119"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300" cy="1682115"/>
                        </a:xfrm>
                        <a:prstGeom prst="rect">
                          <a:avLst/>
                        </a:prstGeom>
                        <a:solidFill>
                          <a:sysClr val="window" lastClr="FFFFFF"/>
                        </a:solidFill>
                        <a:ln w="6350">
                          <a:solidFill>
                            <a:prstClr val="black"/>
                          </a:solidFill>
                        </a:ln>
                        <a:effectLst/>
                      </wps:spPr>
                      <wps:txbx>
                        <w:txbxContent>
                          <w:p w14:paraId="73F4AE52" w14:textId="77777777" w:rsidR="00F17183" w:rsidRDefault="00F17183" w:rsidP="00F17183">
                            <w:pPr>
                              <w:spacing w:before="120" w:after="0" w:line="240" w:lineRule="auto"/>
                              <w:rPr>
                                <w:rFonts w:eastAsiaTheme="majorEastAsia"/>
                                <w:b/>
                                <w:bCs/>
                                <w:iCs/>
                                <w:color w:val="002467"/>
                                <w:sz w:val="24"/>
                              </w:rPr>
                            </w:pPr>
                            <w:r w:rsidRPr="00FB14F0">
                              <w:rPr>
                                <w:rFonts w:eastAsiaTheme="majorEastAsia"/>
                                <w:b/>
                                <w:bCs/>
                                <w:iCs/>
                                <w:color w:val="002467"/>
                                <w:sz w:val="24"/>
                              </w:rPr>
                              <w:t>Contactos:</w:t>
                            </w:r>
                          </w:p>
                          <w:p w14:paraId="32EE05ED" w14:textId="77777777" w:rsidR="00F17183" w:rsidRPr="007A448B" w:rsidRDefault="00F17183" w:rsidP="00F17183">
                            <w:pPr>
                              <w:pStyle w:val="Prrafodelista"/>
                              <w:numPr>
                                <w:ilvl w:val="0"/>
                                <w:numId w:val="13"/>
                              </w:numPr>
                              <w:spacing w:before="120" w:after="0" w:line="240" w:lineRule="auto"/>
                              <w:rPr>
                                <w:rFonts w:ascii="Times New Roman" w:hAnsi="Times New Roman"/>
                                <w:color w:val="000000" w:themeColor="text1"/>
                                <w:lang w:val="es-PY"/>
                              </w:rPr>
                            </w:pPr>
                            <w:r w:rsidRPr="007A448B">
                              <w:rPr>
                                <w:rFonts w:ascii="Times New Roman" w:hAnsi="Times New Roman"/>
                                <w:color w:val="000000" w:themeColor="text1"/>
                                <w:lang w:val="es-PY"/>
                              </w:rPr>
                              <w:t>Nombre y Apellido:</w:t>
                            </w:r>
                            <w:r>
                              <w:rPr>
                                <w:rFonts w:ascii="Times New Roman" w:hAnsi="Times New Roman"/>
                                <w:color w:val="000000" w:themeColor="text1"/>
                                <w:lang w:val="es-PY"/>
                              </w:rPr>
                              <w:t xml:space="preserve"> Mariana B. Díaz R.</w:t>
                            </w:r>
                          </w:p>
                          <w:p w14:paraId="7066172F" w14:textId="77777777" w:rsidR="00F17183" w:rsidRPr="007A448B" w:rsidRDefault="00F17183" w:rsidP="00F17183">
                            <w:pPr>
                              <w:pStyle w:val="Prrafodelista"/>
                              <w:numPr>
                                <w:ilvl w:val="0"/>
                                <w:numId w:val="13"/>
                              </w:numPr>
                              <w:spacing w:before="120" w:after="0" w:line="240" w:lineRule="auto"/>
                              <w:rPr>
                                <w:rFonts w:ascii="Times New Roman" w:hAnsi="Times New Roman"/>
                                <w:color w:val="000000" w:themeColor="text1"/>
                                <w:lang w:val="es-PY"/>
                              </w:rPr>
                            </w:pPr>
                            <w:r w:rsidRPr="007A448B">
                              <w:rPr>
                                <w:rFonts w:ascii="Times New Roman" w:hAnsi="Times New Roman"/>
                                <w:color w:val="000000" w:themeColor="text1"/>
                                <w:lang w:val="es-PY"/>
                              </w:rPr>
                              <w:t xml:space="preserve">Dependencia: </w:t>
                            </w:r>
                            <w:r>
                              <w:rPr>
                                <w:rFonts w:ascii="Times New Roman" w:hAnsi="Times New Roman"/>
                                <w:color w:val="000000" w:themeColor="text1"/>
                                <w:lang w:val="es-PY"/>
                              </w:rPr>
                              <w:t>Dirección de Presupuesto - Dpto. Control y Evaluación Presupuestaria</w:t>
                            </w:r>
                          </w:p>
                          <w:p w14:paraId="179447DC" w14:textId="77777777" w:rsidR="00F17183" w:rsidRPr="007A448B" w:rsidRDefault="00F17183" w:rsidP="00F17183">
                            <w:pPr>
                              <w:pStyle w:val="Prrafodelista"/>
                              <w:numPr>
                                <w:ilvl w:val="0"/>
                                <w:numId w:val="13"/>
                              </w:numPr>
                              <w:spacing w:before="120" w:after="0" w:line="240" w:lineRule="auto"/>
                              <w:rPr>
                                <w:rFonts w:ascii="Times New Roman" w:hAnsi="Times New Roman"/>
                                <w:color w:val="000000" w:themeColor="text1"/>
                                <w:lang w:val="es-PY"/>
                              </w:rPr>
                            </w:pPr>
                            <w:r w:rsidRPr="007A448B">
                              <w:rPr>
                                <w:rFonts w:ascii="Times New Roman" w:hAnsi="Times New Roman"/>
                                <w:color w:val="000000" w:themeColor="text1"/>
                                <w:lang w:val="es-PY"/>
                              </w:rPr>
                              <w:t>Dirección de correo electrónico institucional:</w:t>
                            </w:r>
                            <w:r>
                              <w:rPr>
                                <w:rFonts w:ascii="Times New Roman" w:hAnsi="Times New Roman"/>
                                <w:color w:val="000000" w:themeColor="text1"/>
                                <w:lang w:val="es-PY"/>
                              </w:rPr>
                              <w:t xml:space="preserve"> cepresupuestaria@gmail.com</w:t>
                            </w:r>
                          </w:p>
                          <w:p w14:paraId="2E95780C" w14:textId="77777777" w:rsidR="00F17183" w:rsidRPr="007A448B" w:rsidRDefault="00F17183" w:rsidP="00F17183">
                            <w:pPr>
                              <w:pStyle w:val="Prrafodelista"/>
                              <w:numPr>
                                <w:ilvl w:val="0"/>
                                <w:numId w:val="13"/>
                              </w:numPr>
                              <w:spacing w:before="120" w:after="0" w:line="240" w:lineRule="auto"/>
                              <w:rPr>
                                <w:rFonts w:ascii="Times New Roman" w:hAnsi="Times New Roman"/>
                                <w:color w:val="000000" w:themeColor="text1"/>
                                <w:lang w:val="es-PY"/>
                              </w:rPr>
                            </w:pPr>
                            <w:r w:rsidRPr="007A448B">
                              <w:rPr>
                                <w:rFonts w:ascii="Times New Roman" w:hAnsi="Times New Roman"/>
                                <w:color w:val="000000" w:themeColor="text1"/>
                                <w:lang w:val="es-PY"/>
                              </w:rPr>
                              <w:t>Nº de teléfono institucional:</w:t>
                            </w:r>
                            <w:r>
                              <w:rPr>
                                <w:rFonts w:ascii="Times New Roman" w:hAnsi="Times New Roman"/>
                                <w:color w:val="000000" w:themeColor="text1"/>
                                <w:lang w:val="es-PY"/>
                              </w:rPr>
                              <w:t xml:space="preserve"> 021 - 2374-493 / 204-702</w:t>
                            </w:r>
                          </w:p>
                          <w:p w14:paraId="372B35E2" w14:textId="77777777" w:rsidR="00F17183" w:rsidRPr="007A448B" w:rsidRDefault="00F17183" w:rsidP="00F17183">
                            <w:pPr>
                              <w:rPr>
                                <w:color w:val="000000" w:themeColor="text1"/>
                              </w:rPr>
                            </w:pPr>
                          </w:p>
                          <w:p w14:paraId="0FBEEA8F" w14:textId="77777777" w:rsidR="00F17183" w:rsidRPr="007A448B" w:rsidRDefault="00F17183" w:rsidP="00F17183">
                            <w:pPr>
                              <w:spacing w:before="120" w:after="0" w:line="240" w:lineRule="auto"/>
                              <w:rPr>
                                <w:color w:val="000000" w:themeColor="text1"/>
                                <w:lang w:val="es-P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F8416" id="Cuadro de texto 12" o:spid="_x0000_s1027" type="#_x0000_t202" style="position:absolute;margin-left:0;margin-top:-.05pt;width:429pt;height:132.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9AUwIAALwEAAAOAAAAZHJzL2Uyb0RvYy54bWysVFtv2jAUfp+0/2D5fSSh0LGIUDEqpkmo&#10;rUSnPhvHhqiOj2cbEvbrd+yEy9o9TePBnJvP5fN3Mr1ra0UOwroKdEGzQUqJ0BzKSm8L+uN5+WlC&#10;ifNMl0yBFgU9CkfvZh8/TBuTiyHsQJXCEkyiXd6Ygu68N3mSOL4TNXMDMEKjU4KtmUfVbpPSsgaz&#10;1yoZpult0oAtjQUunEPrfeeks5hfSsH9o5ROeKIKir35eNp4bsKZzKYs31pmdhXv22D/0EXNKo1F&#10;z6numWdkb6t3qeqKW3Ag/YBDnYCUFRdxBpwmS99Ms94xI+IsCI4zZ5jc/0vLHw5r82SJb79Ciw8Y&#10;h3BmBfzVITZJY1zexwRMXe4wOgzaSluHfxyB4EXE9njGU7SecDSOR6PJTYoujr7sdjLMsnFAPLlc&#10;N9b5bwJqEoSCWnyw2AI7rJzvQk8hoZoDVZXLSqmoHN1CWXJg+LZIiRIaShRzHo0FXcZfX+2Pa0qT&#10;pqC3N+O0G/Y6Zah1zrlRjL++z4DdKx3qi8ivvs8LNkHy7aYlVRkAxSGCZQPlEXG20FHQGb6ssNgK&#10;+31iFjmHMOEe+Uc8pALsEHqJkh3YX3+zh3ikAnopaZDDBXU/98wKhOG7RpJ8yUajQPqojMafh6jY&#10;a8/m2qP39QIQygw31vAohnivTqK0UL/gus1DVXQxzbF2Qf1JXPhus3BduZjPYxDS3DC/0mvDT/QK&#10;ID+3L8ya/tU9EuYBTmxn+ZvH72ID4hrmew+yisy4oNrzFFckcqtf57CD13qMunx0Zr8BAAD//wMA&#10;UEsDBBQABgAIAAAAIQCvy2CX3QAAAAYBAAAPAAAAZHJzL2Rvd25yZXYueG1sTI9BS8NAFITvgv9h&#10;eYK3dtNqS4x5KbUg6kmsgnjbZF+T0OzbkN2m8d/7POlxmGHmm3wzuU6NNITWM8JinoAirrxtuUb4&#10;eH+cpaBCNGxN55kQvinApri8yE1m/ZnfaNzHWkkJh8wgNDH2mdahasiZMPc9sXgHPzgTRQ61toM5&#10;S7nr9DJJ1tqZlmWhMT3tGqqO+5ND2L6+lM+hujmM9rijp8+H/nj3tUK8vpq296AiTfEvDL/4gg6F&#10;MJX+xDaoDkGORITZApSY6SoVXSIs17cp6CLX//GLHwAAAP//AwBQSwECLQAUAAYACAAAACEAtoM4&#10;kv4AAADhAQAAEwAAAAAAAAAAAAAAAAAAAAAAW0NvbnRlbnRfVHlwZXNdLnhtbFBLAQItABQABgAI&#10;AAAAIQA4/SH/1gAAAJQBAAALAAAAAAAAAAAAAAAAAC8BAABfcmVscy8ucmVsc1BLAQItABQABgAI&#10;AAAAIQC6NR9AUwIAALwEAAAOAAAAAAAAAAAAAAAAAC4CAABkcnMvZTJvRG9jLnhtbFBLAQItABQA&#10;BgAIAAAAIQCvy2CX3QAAAAYBAAAPAAAAAAAAAAAAAAAAAK0EAABkcnMvZG93bnJldi54bWxQSwUG&#10;AAAAAAQABADzAAAAtwUAAAAA&#10;" fillcolor="window" strokeweight=".5pt">
                <v:path arrowok="t"/>
                <v:textbox>
                  <w:txbxContent>
                    <w:p w14:paraId="73F4AE52" w14:textId="77777777" w:rsidR="00F17183" w:rsidRDefault="00F17183" w:rsidP="00F17183">
                      <w:pPr>
                        <w:spacing w:before="120" w:after="0" w:line="240" w:lineRule="auto"/>
                        <w:rPr>
                          <w:rFonts w:eastAsiaTheme="majorEastAsia"/>
                          <w:b/>
                          <w:bCs/>
                          <w:iCs/>
                          <w:color w:val="002467"/>
                          <w:sz w:val="24"/>
                        </w:rPr>
                      </w:pPr>
                      <w:r w:rsidRPr="00FB14F0">
                        <w:rPr>
                          <w:rFonts w:eastAsiaTheme="majorEastAsia"/>
                          <w:b/>
                          <w:bCs/>
                          <w:iCs/>
                          <w:color w:val="002467"/>
                          <w:sz w:val="24"/>
                        </w:rPr>
                        <w:t>Contactos:</w:t>
                      </w:r>
                    </w:p>
                    <w:p w14:paraId="32EE05ED" w14:textId="77777777" w:rsidR="00F17183" w:rsidRPr="007A448B" w:rsidRDefault="00F17183" w:rsidP="00F17183">
                      <w:pPr>
                        <w:pStyle w:val="Prrafodelista"/>
                        <w:numPr>
                          <w:ilvl w:val="0"/>
                          <w:numId w:val="13"/>
                        </w:numPr>
                        <w:spacing w:before="120" w:after="0" w:line="240" w:lineRule="auto"/>
                        <w:rPr>
                          <w:rFonts w:ascii="Times New Roman" w:hAnsi="Times New Roman"/>
                          <w:color w:val="000000" w:themeColor="text1"/>
                          <w:lang w:val="es-PY"/>
                        </w:rPr>
                      </w:pPr>
                      <w:r w:rsidRPr="007A448B">
                        <w:rPr>
                          <w:rFonts w:ascii="Times New Roman" w:hAnsi="Times New Roman"/>
                          <w:color w:val="000000" w:themeColor="text1"/>
                          <w:lang w:val="es-PY"/>
                        </w:rPr>
                        <w:t>Nombre y Apellido:</w:t>
                      </w:r>
                      <w:r>
                        <w:rPr>
                          <w:rFonts w:ascii="Times New Roman" w:hAnsi="Times New Roman"/>
                          <w:color w:val="000000" w:themeColor="text1"/>
                          <w:lang w:val="es-PY"/>
                        </w:rPr>
                        <w:t xml:space="preserve"> Mariana B. Díaz R.</w:t>
                      </w:r>
                    </w:p>
                    <w:p w14:paraId="7066172F" w14:textId="77777777" w:rsidR="00F17183" w:rsidRPr="007A448B" w:rsidRDefault="00F17183" w:rsidP="00F17183">
                      <w:pPr>
                        <w:pStyle w:val="Prrafodelista"/>
                        <w:numPr>
                          <w:ilvl w:val="0"/>
                          <w:numId w:val="13"/>
                        </w:numPr>
                        <w:spacing w:before="120" w:after="0" w:line="240" w:lineRule="auto"/>
                        <w:rPr>
                          <w:rFonts w:ascii="Times New Roman" w:hAnsi="Times New Roman"/>
                          <w:color w:val="000000" w:themeColor="text1"/>
                          <w:lang w:val="es-PY"/>
                        </w:rPr>
                      </w:pPr>
                      <w:r w:rsidRPr="007A448B">
                        <w:rPr>
                          <w:rFonts w:ascii="Times New Roman" w:hAnsi="Times New Roman"/>
                          <w:color w:val="000000" w:themeColor="text1"/>
                          <w:lang w:val="es-PY"/>
                        </w:rPr>
                        <w:t xml:space="preserve">Dependencia: </w:t>
                      </w:r>
                      <w:r>
                        <w:rPr>
                          <w:rFonts w:ascii="Times New Roman" w:hAnsi="Times New Roman"/>
                          <w:color w:val="000000" w:themeColor="text1"/>
                          <w:lang w:val="es-PY"/>
                        </w:rPr>
                        <w:t>Dirección de Presupuesto - Dpto. Control y Evaluación Presupuestaria</w:t>
                      </w:r>
                    </w:p>
                    <w:p w14:paraId="179447DC" w14:textId="77777777" w:rsidR="00F17183" w:rsidRPr="007A448B" w:rsidRDefault="00F17183" w:rsidP="00F17183">
                      <w:pPr>
                        <w:pStyle w:val="Prrafodelista"/>
                        <w:numPr>
                          <w:ilvl w:val="0"/>
                          <w:numId w:val="13"/>
                        </w:numPr>
                        <w:spacing w:before="120" w:after="0" w:line="240" w:lineRule="auto"/>
                        <w:rPr>
                          <w:rFonts w:ascii="Times New Roman" w:hAnsi="Times New Roman"/>
                          <w:color w:val="000000" w:themeColor="text1"/>
                          <w:lang w:val="es-PY"/>
                        </w:rPr>
                      </w:pPr>
                      <w:r w:rsidRPr="007A448B">
                        <w:rPr>
                          <w:rFonts w:ascii="Times New Roman" w:hAnsi="Times New Roman"/>
                          <w:color w:val="000000" w:themeColor="text1"/>
                          <w:lang w:val="es-PY"/>
                        </w:rPr>
                        <w:t>Dirección de correo electrónico institucional:</w:t>
                      </w:r>
                      <w:r>
                        <w:rPr>
                          <w:rFonts w:ascii="Times New Roman" w:hAnsi="Times New Roman"/>
                          <w:color w:val="000000" w:themeColor="text1"/>
                          <w:lang w:val="es-PY"/>
                        </w:rPr>
                        <w:t xml:space="preserve"> cepresupuestaria@gmail.com</w:t>
                      </w:r>
                    </w:p>
                    <w:p w14:paraId="2E95780C" w14:textId="77777777" w:rsidR="00F17183" w:rsidRPr="007A448B" w:rsidRDefault="00F17183" w:rsidP="00F17183">
                      <w:pPr>
                        <w:pStyle w:val="Prrafodelista"/>
                        <w:numPr>
                          <w:ilvl w:val="0"/>
                          <w:numId w:val="13"/>
                        </w:numPr>
                        <w:spacing w:before="120" w:after="0" w:line="240" w:lineRule="auto"/>
                        <w:rPr>
                          <w:rFonts w:ascii="Times New Roman" w:hAnsi="Times New Roman"/>
                          <w:color w:val="000000" w:themeColor="text1"/>
                          <w:lang w:val="es-PY"/>
                        </w:rPr>
                      </w:pPr>
                      <w:proofErr w:type="spellStart"/>
                      <w:r w:rsidRPr="007A448B">
                        <w:rPr>
                          <w:rFonts w:ascii="Times New Roman" w:hAnsi="Times New Roman"/>
                          <w:color w:val="000000" w:themeColor="text1"/>
                          <w:lang w:val="es-PY"/>
                        </w:rPr>
                        <w:t>Nº</w:t>
                      </w:r>
                      <w:proofErr w:type="spellEnd"/>
                      <w:r w:rsidRPr="007A448B">
                        <w:rPr>
                          <w:rFonts w:ascii="Times New Roman" w:hAnsi="Times New Roman"/>
                          <w:color w:val="000000" w:themeColor="text1"/>
                          <w:lang w:val="es-PY"/>
                        </w:rPr>
                        <w:t xml:space="preserve"> de teléfono institucional:</w:t>
                      </w:r>
                      <w:r>
                        <w:rPr>
                          <w:rFonts w:ascii="Times New Roman" w:hAnsi="Times New Roman"/>
                          <w:color w:val="000000" w:themeColor="text1"/>
                          <w:lang w:val="es-PY"/>
                        </w:rPr>
                        <w:t xml:space="preserve"> 021 - 2374-493 / 204-702</w:t>
                      </w:r>
                    </w:p>
                    <w:p w14:paraId="372B35E2" w14:textId="77777777" w:rsidR="00F17183" w:rsidRPr="007A448B" w:rsidRDefault="00F17183" w:rsidP="00F17183">
                      <w:pPr>
                        <w:rPr>
                          <w:color w:val="000000" w:themeColor="text1"/>
                        </w:rPr>
                      </w:pPr>
                    </w:p>
                    <w:p w14:paraId="0FBEEA8F" w14:textId="77777777" w:rsidR="00F17183" w:rsidRPr="007A448B" w:rsidRDefault="00F17183" w:rsidP="00F17183">
                      <w:pPr>
                        <w:spacing w:before="120" w:after="0" w:line="240" w:lineRule="auto"/>
                        <w:rPr>
                          <w:color w:val="000000" w:themeColor="text1"/>
                          <w:lang w:val="es-PY"/>
                        </w:rPr>
                      </w:pPr>
                    </w:p>
                  </w:txbxContent>
                </v:textbox>
                <w10:wrap anchorx="margin"/>
              </v:shape>
            </w:pict>
          </mc:Fallback>
        </mc:AlternateContent>
      </w:r>
    </w:p>
    <w:p w14:paraId="42B5641C" w14:textId="77777777" w:rsidR="00AF5E85" w:rsidRPr="00AF5E85" w:rsidRDefault="00AF5E85" w:rsidP="00AF5E85"/>
    <w:p w14:paraId="43CE52E6" w14:textId="77777777" w:rsidR="00AF5E85" w:rsidRPr="00AF5E85" w:rsidRDefault="00AF5E85" w:rsidP="00AF5E85"/>
    <w:p w14:paraId="5D4F1B64" w14:textId="77777777" w:rsidR="00AF5E85" w:rsidRPr="00AF5E85" w:rsidRDefault="00AF5E85" w:rsidP="00AF5E85"/>
    <w:p w14:paraId="3EDAC35D" w14:textId="77777777" w:rsidR="00AF5E85" w:rsidRPr="00AF5E85" w:rsidRDefault="00AF5E85" w:rsidP="00AF5E85"/>
    <w:p w14:paraId="6985A02C" w14:textId="77777777" w:rsidR="00AF5E85" w:rsidRPr="00AF5E85" w:rsidRDefault="00AF5E85" w:rsidP="00AF5E85"/>
    <w:p w14:paraId="465EAC93" w14:textId="77777777" w:rsidR="00AF5E85" w:rsidRPr="00AF5E85" w:rsidRDefault="00AF5E85" w:rsidP="00AF5E85"/>
    <w:sectPr w:rsidR="00AF5E85" w:rsidRPr="00AF5E85" w:rsidSect="00692900">
      <w:footerReference w:type="first" r:id="rId29"/>
      <w:pgSz w:w="12242" w:h="15842"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073820" w14:textId="77777777" w:rsidR="00B220B8" w:rsidRDefault="00B220B8" w:rsidP="00295BAB">
      <w:pPr>
        <w:spacing w:after="0" w:line="240" w:lineRule="auto"/>
      </w:pPr>
      <w:r>
        <w:separator/>
      </w:r>
    </w:p>
  </w:endnote>
  <w:endnote w:type="continuationSeparator" w:id="0">
    <w:p w14:paraId="5F899310" w14:textId="77777777" w:rsidR="00B220B8" w:rsidRDefault="00B220B8" w:rsidP="00295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72" w:type="dxa"/>
        <w:left w:w="115" w:type="dxa"/>
        <w:bottom w:w="72" w:type="dxa"/>
        <w:right w:w="115" w:type="dxa"/>
      </w:tblCellMar>
      <w:tblLook w:val="04A0" w:firstRow="1" w:lastRow="0" w:firstColumn="1" w:lastColumn="0" w:noHBand="0" w:noVBand="1"/>
    </w:tblPr>
    <w:tblGrid>
      <w:gridCol w:w="926"/>
      <w:gridCol w:w="8339"/>
    </w:tblGrid>
    <w:tr w:rsidR="00D96915" w14:paraId="75669C87" w14:textId="77777777" w:rsidTr="002966D9">
      <w:tc>
        <w:tcPr>
          <w:tcW w:w="500" w:type="pct"/>
          <w:shd w:val="clear" w:color="auto" w:fill="F2F2F2" w:themeFill="background1" w:themeFillShade="F2"/>
        </w:tcPr>
        <w:p w14:paraId="0C325F16" w14:textId="77777777" w:rsidR="00D96915" w:rsidRPr="002966D9" w:rsidRDefault="00D96915">
          <w:pPr>
            <w:pStyle w:val="Piedepgina"/>
            <w:jc w:val="right"/>
            <w:rPr>
              <w:rFonts w:ascii="Times New Roman" w:hAnsi="Times New Roman"/>
              <w:b/>
              <w:bCs/>
              <w:color w:val="FFFFFF" w:themeColor="background1"/>
              <w:sz w:val="16"/>
              <w:szCs w:val="16"/>
            </w:rPr>
          </w:pPr>
          <w:r w:rsidRPr="002966D9">
            <w:rPr>
              <w:rFonts w:ascii="Times New Roman" w:hAnsi="Times New Roman"/>
              <w:b/>
              <w:sz w:val="16"/>
              <w:szCs w:val="16"/>
            </w:rPr>
            <w:fldChar w:fldCharType="begin"/>
          </w:r>
          <w:r w:rsidRPr="002966D9">
            <w:rPr>
              <w:rFonts w:ascii="Times New Roman" w:hAnsi="Times New Roman"/>
              <w:b/>
              <w:sz w:val="16"/>
              <w:szCs w:val="16"/>
            </w:rPr>
            <w:instrText>PAGE   \* MERGEFORMAT</w:instrText>
          </w:r>
          <w:r w:rsidRPr="002966D9">
            <w:rPr>
              <w:rFonts w:ascii="Times New Roman" w:hAnsi="Times New Roman"/>
              <w:b/>
              <w:sz w:val="16"/>
              <w:szCs w:val="16"/>
            </w:rPr>
            <w:fldChar w:fldCharType="separate"/>
          </w:r>
          <w:r w:rsidR="002E520E">
            <w:rPr>
              <w:rFonts w:ascii="Times New Roman" w:hAnsi="Times New Roman"/>
              <w:b/>
              <w:noProof/>
              <w:sz w:val="16"/>
              <w:szCs w:val="16"/>
            </w:rPr>
            <w:t>4</w:t>
          </w:r>
          <w:r w:rsidRPr="002966D9">
            <w:rPr>
              <w:rFonts w:ascii="Times New Roman" w:hAnsi="Times New Roman"/>
              <w:b/>
              <w:sz w:val="16"/>
              <w:szCs w:val="16"/>
            </w:rPr>
            <w:fldChar w:fldCharType="end"/>
          </w:r>
        </w:p>
      </w:tc>
      <w:tc>
        <w:tcPr>
          <w:tcW w:w="4500" w:type="pct"/>
          <w:tcBorders>
            <w:top w:val="single" w:sz="4" w:space="0" w:color="auto"/>
          </w:tcBorders>
        </w:tcPr>
        <w:p w14:paraId="037688B1" w14:textId="77777777" w:rsidR="00D96915" w:rsidRPr="00692900" w:rsidRDefault="00692900">
          <w:pPr>
            <w:pStyle w:val="Piedepgina"/>
            <w:rPr>
              <w:rFonts w:ascii="Times New Roman" w:hAnsi="Times New Roman"/>
              <w:sz w:val="16"/>
              <w:szCs w:val="16"/>
            </w:rPr>
          </w:pPr>
          <w:r w:rsidRPr="00692900">
            <w:rPr>
              <w:rFonts w:ascii="Times New Roman" w:hAnsi="Times New Roman"/>
              <w:b/>
              <w:sz w:val="16"/>
              <w:szCs w:val="16"/>
            </w:rPr>
            <w:t>BAGP</w:t>
          </w:r>
          <w:r w:rsidR="00D96915" w:rsidRPr="00692900">
            <w:rPr>
              <w:rFonts w:ascii="Times New Roman" w:hAnsi="Times New Roman"/>
              <w:sz w:val="16"/>
              <w:szCs w:val="16"/>
            </w:rPr>
            <w:t xml:space="preserve">| </w:t>
          </w:r>
          <w:sdt>
            <w:sdtPr>
              <w:rPr>
                <w:rFonts w:ascii="Times New Roman" w:hAnsi="Times New Roman"/>
                <w:sz w:val="16"/>
                <w:szCs w:val="16"/>
              </w:rPr>
              <w:alias w:val="Compañía"/>
              <w:id w:val="1458450089"/>
              <w:dataBinding w:prefixMappings="xmlns:ns0='http://schemas.openxmlformats.org/officeDocument/2006/extended-properties'" w:xpath="/ns0:Properties[1]/ns0:Company[1]" w:storeItemID="{6668398D-A668-4E3E-A5EB-62B293D839F1}"/>
              <w:text/>
            </w:sdtPr>
            <w:sdtContent>
              <w:r w:rsidR="00D96915" w:rsidRPr="00692900">
                <w:rPr>
                  <w:rFonts w:ascii="Times New Roman" w:hAnsi="Times New Roman"/>
                  <w:sz w:val="16"/>
                  <w:szCs w:val="16"/>
                  <w:lang w:val="es-PY"/>
                </w:rPr>
                <w:t>Balance Anual de Gestión Pública</w:t>
              </w:r>
            </w:sdtContent>
          </w:sdt>
        </w:p>
      </w:tc>
    </w:tr>
  </w:tbl>
  <w:p w14:paraId="7C8FEA04" w14:textId="77777777" w:rsidR="00B743F2" w:rsidRDefault="00B743F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72" w:type="dxa"/>
        <w:left w:w="115" w:type="dxa"/>
        <w:bottom w:w="72" w:type="dxa"/>
        <w:right w:w="115" w:type="dxa"/>
      </w:tblCellMar>
      <w:tblLook w:val="04A0" w:firstRow="1" w:lastRow="0" w:firstColumn="1" w:lastColumn="0" w:noHBand="0" w:noVBand="1"/>
    </w:tblPr>
    <w:tblGrid>
      <w:gridCol w:w="8338"/>
      <w:gridCol w:w="927"/>
    </w:tblGrid>
    <w:tr w:rsidR="00D96915" w14:paraId="0ABFFCAE" w14:textId="77777777" w:rsidTr="002966D9">
      <w:tc>
        <w:tcPr>
          <w:tcW w:w="4500" w:type="pct"/>
          <w:tcBorders>
            <w:top w:val="single" w:sz="4" w:space="0" w:color="000000" w:themeColor="text1"/>
          </w:tcBorders>
        </w:tcPr>
        <w:p w14:paraId="13B8EE5F" w14:textId="77777777" w:rsidR="00D96915" w:rsidRPr="00692900" w:rsidRDefault="00000000" w:rsidP="00692900">
          <w:pPr>
            <w:pStyle w:val="Piedepgina"/>
            <w:jc w:val="right"/>
            <w:rPr>
              <w:rFonts w:ascii="Times New Roman" w:hAnsi="Times New Roman"/>
              <w:sz w:val="16"/>
              <w:szCs w:val="16"/>
            </w:rPr>
          </w:pPr>
          <w:sdt>
            <w:sdtPr>
              <w:rPr>
                <w:rFonts w:ascii="Times New Roman" w:hAnsi="Times New Roman"/>
                <w:sz w:val="16"/>
                <w:szCs w:val="16"/>
              </w:rPr>
              <w:alias w:val="Compañía"/>
              <w:id w:val="-1696995575"/>
              <w:dataBinding w:prefixMappings="xmlns:ns0='http://schemas.openxmlformats.org/officeDocument/2006/extended-properties'" w:xpath="/ns0:Properties[1]/ns0:Company[1]" w:storeItemID="{6668398D-A668-4E3E-A5EB-62B293D839F1}"/>
              <w:text/>
            </w:sdtPr>
            <w:sdtContent>
              <w:r w:rsidR="00D96915" w:rsidRPr="00692900">
                <w:rPr>
                  <w:rFonts w:ascii="Times New Roman" w:hAnsi="Times New Roman"/>
                  <w:sz w:val="16"/>
                  <w:szCs w:val="16"/>
                  <w:lang w:val="es-PY"/>
                </w:rPr>
                <w:t>Balance Anual de Gestión Pública</w:t>
              </w:r>
            </w:sdtContent>
          </w:sdt>
          <w:r w:rsidR="00692900" w:rsidRPr="00692900">
            <w:rPr>
              <w:rFonts w:ascii="Times New Roman" w:hAnsi="Times New Roman"/>
              <w:sz w:val="16"/>
              <w:szCs w:val="16"/>
            </w:rPr>
            <w:t xml:space="preserve"> |</w:t>
          </w:r>
          <w:r w:rsidR="00692900" w:rsidRPr="00692900">
            <w:rPr>
              <w:rFonts w:ascii="Times New Roman" w:hAnsi="Times New Roman"/>
              <w:b/>
              <w:sz w:val="16"/>
              <w:szCs w:val="16"/>
            </w:rPr>
            <w:t>BAGP</w:t>
          </w:r>
        </w:p>
      </w:tc>
      <w:tc>
        <w:tcPr>
          <w:tcW w:w="500" w:type="pct"/>
          <w:shd w:val="clear" w:color="auto" w:fill="F2F2F2" w:themeFill="background1" w:themeFillShade="F2"/>
        </w:tcPr>
        <w:p w14:paraId="389D6F34" w14:textId="77777777" w:rsidR="00D96915" w:rsidRPr="002966D9" w:rsidRDefault="00D96915">
          <w:pPr>
            <w:pStyle w:val="Encabezado"/>
            <w:rPr>
              <w:b/>
              <w:color w:val="FFFFFF" w:themeColor="background1"/>
              <w:sz w:val="16"/>
              <w:szCs w:val="16"/>
            </w:rPr>
          </w:pPr>
          <w:r w:rsidRPr="002966D9">
            <w:rPr>
              <w:b/>
              <w:sz w:val="16"/>
              <w:szCs w:val="16"/>
            </w:rPr>
            <w:fldChar w:fldCharType="begin"/>
          </w:r>
          <w:r w:rsidRPr="002966D9">
            <w:rPr>
              <w:b/>
              <w:sz w:val="16"/>
              <w:szCs w:val="16"/>
            </w:rPr>
            <w:instrText>PAGE   \* MERGEFORMAT</w:instrText>
          </w:r>
          <w:r w:rsidRPr="002966D9">
            <w:rPr>
              <w:b/>
              <w:sz w:val="16"/>
              <w:szCs w:val="16"/>
            </w:rPr>
            <w:fldChar w:fldCharType="separate"/>
          </w:r>
          <w:r w:rsidR="002E520E">
            <w:rPr>
              <w:b/>
              <w:noProof/>
              <w:sz w:val="16"/>
              <w:szCs w:val="16"/>
            </w:rPr>
            <w:t>5</w:t>
          </w:r>
          <w:r w:rsidRPr="002966D9">
            <w:rPr>
              <w:b/>
              <w:sz w:val="16"/>
              <w:szCs w:val="16"/>
            </w:rPr>
            <w:fldChar w:fldCharType="end"/>
          </w:r>
        </w:p>
      </w:tc>
    </w:tr>
  </w:tbl>
  <w:p w14:paraId="024D4A13" w14:textId="77777777" w:rsidR="00B743F2" w:rsidRDefault="00B743F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72" w:type="dxa"/>
        <w:left w:w="115" w:type="dxa"/>
        <w:bottom w:w="72" w:type="dxa"/>
        <w:right w:w="115" w:type="dxa"/>
      </w:tblCellMar>
      <w:tblLook w:val="04A0" w:firstRow="1" w:lastRow="0" w:firstColumn="1" w:lastColumn="0" w:noHBand="0" w:noVBand="1"/>
    </w:tblPr>
    <w:tblGrid>
      <w:gridCol w:w="884"/>
      <w:gridCol w:w="7956"/>
    </w:tblGrid>
    <w:tr w:rsidR="00D96915" w14:paraId="29A3DDF8" w14:textId="77777777" w:rsidTr="002966D9">
      <w:tc>
        <w:tcPr>
          <w:tcW w:w="500" w:type="pct"/>
          <w:shd w:val="clear" w:color="auto" w:fill="F2F2F2" w:themeFill="background1" w:themeFillShade="F2"/>
        </w:tcPr>
        <w:p w14:paraId="63CBB022" w14:textId="77777777" w:rsidR="00D96915" w:rsidRPr="002966D9" w:rsidRDefault="00D96915">
          <w:pPr>
            <w:pStyle w:val="Piedepgina"/>
            <w:jc w:val="right"/>
            <w:rPr>
              <w:rFonts w:ascii="Times New Roman" w:hAnsi="Times New Roman"/>
              <w:b/>
              <w:bCs/>
              <w:color w:val="FFFFFF" w:themeColor="background1"/>
              <w:sz w:val="16"/>
              <w:szCs w:val="16"/>
            </w:rPr>
          </w:pPr>
          <w:r w:rsidRPr="002966D9">
            <w:rPr>
              <w:rFonts w:ascii="Times New Roman" w:hAnsi="Times New Roman"/>
              <w:b/>
              <w:sz w:val="16"/>
              <w:szCs w:val="16"/>
            </w:rPr>
            <w:fldChar w:fldCharType="begin"/>
          </w:r>
          <w:r w:rsidRPr="002966D9">
            <w:rPr>
              <w:rFonts w:ascii="Times New Roman" w:hAnsi="Times New Roman"/>
              <w:b/>
              <w:sz w:val="16"/>
              <w:szCs w:val="16"/>
            </w:rPr>
            <w:instrText>PAGE   \* MERGEFORMAT</w:instrText>
          </w:r>
          <w:r w:rsidRPr="002966D9">
            <w:rPr>
              <w:rFonts w:ascii="Times New Roman" w:hAnsi="Times New Roman"/>
              <w:b/>
              <w:sz w:val="16"/>
              <w:szCs w:val="16"/>
            </w:rPr>
            <w:fldChar w:fldCharType="separate"/>
          </w:r>
          <w:r w:rsidR="002E520E">
            <w:rPr>
              <w:rFonts w:ascii="Times New Roman" w:hAnsi="Times New Roman"/>
              <w:b/>
              <w:noProof/>
              <w:sz w:val="16"/>
              <w:szCs w:val="16"/>
            </w:rPr>
            <w:t>2</w:t>
          </w:r>
          <w:r w:rsidRPr="002966D9">
            <w:rPr>
              <w:rFonts w:ascii="Times New Roman" w:hAnsi="Times New Roman"/>
              <w:b/>
              <w:sz w:val="16"/>
              <w:szCs w:val="16"/>
            </w:rPr>
            <w:fldChar w:fldCharType="end"/>
          </w:r>
        </w:p>
      </w:tc>
      <w:tc>
        <w:tcPr>
          <w:tcW w:w="4500" w:type="pct"/>
          <w:tcBorders>
            <w:top w:val="single" w:sz="4" w:space="0" w:color="auto"/>
          </w:tcBorders>
        </w:tcPr>
        <w:p w14:paraId="1830F7EC" w14:textId="77777777" w:rsidR="00D96915" w:rsidRPr="00692900" w:rsidRDefault="00692900" w:rsidP="00692900">
          <w:pPr>
            <w:pStyle w:val="Piedepgina"/>
            <w:rPr>
              <w:rFonts w:ascii="Times New Roman" w:hAnsi="Times New Roman"/>
              <w:sz w:val="16"/>
              <w:szCs w:val="16"/>
            </w:rPr>
          </w:pPr>
          <w:r w:rsidRPr="00692900">
            <w:rPr>
              <w:rFonts w:ascii="Times New Roman" w:hAnsi="Times New Roman"/>
              <w:b/>
              <w:sz w:val="16"/>
              <w:szCs w:val="16"/>
            </w:rPr>
            <w:t>BAGP</w:t>
          </w:r>
          <w:r w:rsidRPr="00692900">
            <w:rPr>
              <w:rFonts w:ascii="Times New Roman" w:hAnsi="Times New Roman"/>
              <w:sz w:val="16"/>
              <w:szCs w:val="16"/>
            </w:rPr>
            <w:t xml:space="preserve"> </w:t>
          </w:r>
          <w:r w:rsidR="00D96915" w:rsidRPr="00692900">
            <w:rPr>
              <w:rFonts w:ascii="Times New Roman" w:hAnsi="Times New Roman"/>
              <w:sz w:val="16"/>
              <w:szCs w:val="16"/>
            </w:rPr>
            <w:t xml:space="preserve">| </w:t>
          </w:r>
          <w:sdt>
            <w:sdtPr>
              <w:rPr>
                <w:rFonts w:ascii="Times New Roman" w:hAnsi="Times New Roman"/>
                <w:sz w:val="16"/>
                <w:szCs w:val="16"/>
              </w:rPr>
              <w:alias w:val="Compañía"/>
              <w:id w:val="75914618"/>
              <w:dataBinding w:prefixMappings="xmlns:ns0='http://schemas.openxmlformats.org/officeDocument/2006/extended-properties'" w:xpath="/ns0:Properties[1]/ns0:Company[1]" w:storeItemID="{6668398D-A668-4E3E-A5EB-62B293D839F1}"/>
              <w:text/>
            </w:sdtPr>
            <w:sdtContent>
              <w:r w:rsidR="00D96915" w:rsidRPr="00692900">
                <w:rPr>
                  <w:rFonts w:ascii="Times New Roman" w:hAnsi="Times New Roman"/>
                  <w:sz w:val="16"/>
                  <w:szCs w:val="16"/>
                  <w:lang w:val="es-PY"/>
                </w:rPr>
                <w:t>Balance Anual de Gestión Pública</w:t>
              </w:r>
            </w:sdtContent>
          </w:sdt>
        </w:p>
      </w:tc>
    </w:tr>
  </w:tbl>
  <w:p w14:paraId="0E8746A4" w14:textId="77777777" w:rsidR="00DF079F" w:rsidRPr="00BE1214" w:rsidRDefault="00DF079F" w:rsidP="00BE121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299CDB" w14:textId="77777777" w:rsidR="00B220B8" w:rsidRDefault="00B220B8" w:rsidP="00295BAB">
      <w:pPr>
        <w:spacing w:after="0" w:line="240" w:lineRule="auto"/>
      </w:pPr>
      <w:r>
        <w:separator/>
      </w:r>
    </w:p>
  </w:footnote>
  <w:footnote w:type="continuationSeparator" w:id="0">
    <w:p w14:paraId="74FCEFF6" w14:textId="77777777" w:rsidR="00B220B8" w:rsidRDefault="00B220B8" w:rsidP="00295B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3F052" w14:textId="55E4FA97" w:rsidR="0066267F" w:rsidRDefault="00947A62">
    <w:pPr>
      <w:pStyle w:val="Encabezado"/>
    </w:pPr>
    <w:r>
      <w:fldChar w:fldCharType="begin"/>
    </w:r>
    <w:r>
      <w:instrText xml:space="preserve"> INCLUDEPICTURE  "https://www.mspbs.gov.py/dependencias/portal/fotos/3cd069-MINISTERIOSALUDPUBLICAYBIENESTARSOCIALportada.jpg" \* MERGEFORMATINET </w:instrText>
    </w:r>
    <w:r>
      <w:fldChar w:fldCharType="separate"/>
    </w:r>
    <w:r>
      <w:fldChar w:fldCharType="begin"/>
    </w:r>
    <w:r>
      <w:instrText xml:space="preserve"> INCLUDEPICTURE  "https://www.mspbs.gov.py/dependencias/portal/fotos/3cd069-MINISTERIOSALUDPUBLICAYBIENESTARSOCIALportada.jpg" \* MERGEFORMATINET </w:instrText>
    </w:r>
    <w:r>
      <w:fldChar w:fldCharType="separate"/>
    </w:r>
    <w:r>
      <w:fldChar w:fldCharType="begin"/>
    </w:r>
    <w:r>
      <w:instrText xml:space="preserve"> INCLUDEPICTURE  "https://www.mspbs.gov.py/dependencias/portal/fotos/3cd069-MINISTERIOSALUDPUBLICAYBIENESTARSOCIALportada.jpg" \* MERGEFORMATINET </w:instrText>
    </w:r>
    <w:r>
      <w:fldChar w:fldCharType="separate"/>
    </w:r>
    <w:r>
      <w:fldChar w:fldCharType="begin"/>
    </w:r>
    <w:r>
      <w:instrText xml:space="preserve"> INCLUDEPICTURE  "https://www.mspbs.gov.py/dependencias/portal/fotos/3cd069-MINISTERIOSALUDPUBLICAYBIENESTARSOCIALportada.jpg" \* MERGEFORMATINET </w:instrText>
    </w:r>
    <w:r>
      <w:fldChar w:fldCharType="separate"/>
    </w:r>
    <w:r>
      <w:fldChar w:fldCharType="begin"/>
    </w:r>
    <w:r>
      <w:instrText xml:space="preserve"> INCLUDEPICTURE  "https://www.mspbs.gov.py/dependencias/portal/fotos/3cd069-MINISTERIOSALUDPUBLICAYBIENESTARSOCIALportada.jpg" \* MERGEFORMATINET </w:instrText>
    </w:r>
    <w:r>
      <w:fldChar w:fldCharType="separate"/>
    </w:r>
    <w:r>
      <w:fldChar w:fldCharType="begin"/>
    </w:r>
    <w:r>
      <w:instrText xml:space="preserve"> INCLUDEPICTURE  "https://www.mspbs.gov.py/dependencias/portal/fotos/3cd069-MINISTERIOSALUDPUBLICAYBIENESTARSOCIALportada.jpg" \* MERGEFORMATINET </w:instrText>
    </w:r>
    <w:r>
      <w:fldChar w:fldCharType="separate"/>
    </w:r>
    <w:r>
      <w:fldChar w:fldCharType="begin"/>
    </w:r>
    <w:r>
      <w:instrText xml:space="preserve"> INCLUDEPICTURE  "https://www.mspbs.gov.py/dependencias/portal/fotos/3cd069-MINISTERIOSALUDPUBLICAYBIENESTARSOCIALportada.jpg" \* MERGEFORMATINET </w:instrText>
    </w:r>
    <w:r>
      <w:fldChar w:fldCharType="separate"/>
    </w:r>
    <w:r>
      <w:fldChar w:fldCharType="begin"/>
    </w:r>
    <w:r>
      <w:instrText xml:space="preserve"> INCLUDEPICTURE  "https://www.mspbs.gov.py/dependencias/portal/fotos/3cd069-MINISTERIOSALUDPUBLICAYBIENESTARSOCIALportada.jpg" \* MERGEFORMATINET </w:instrText>
    </w:r>
    <w:r>
      <w:fldChar w:fldCharType="separate"/>
    </w:r>
    <w:r w:rsidR="00000000">
      <w:fldChar w:fldCharType="begin"/>
    </w:r>
    <w:r w:rsidR="00000000">
      <w:instrText xml:space="preserve"> INCLUDEPICTURE  "https://www.mspbs.gov.py/dependencias/portal/fotos/3cd069-MINISTERIOSALUDPUBLICAYBIENESTARSOCIALportada.jpg" \* MERGEFORMATINET </w:instrText>
    </w:r>
    <w:r w:rsidR="00000000">
      <w:fldChar w:fldCharType="separate"/>
    </w:r>
    <w:r w:rsidR="00D118B5">
      <w:pict w14:anchorId="0DC4E7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pt;height:51.75pt">
          <v:imagedata r:id="rId1" r:href="rId2"/>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0BAF8" w14:textId="746DFC4E" w:rsidR="0015777F" w:rsidRPr="009C411B" w:rsidRDefault="00947A62">
    <w:pPr>
      <w:pStyle w:val="Encabezado"/>
      <w:rPr>
        <w:b/>
        <w:lang w:val="es-PY"/>
      </w:rPr>
    </w:pPr>
    <w:r>
      <w:fldChar w:fldCharType="begin"/>
    </w:r>
    <w:r>
      <w:instrText xml:space="preserve"> INCLUDEPICTURE  "https://www.mspbs.gov.py/dependencias/portal/fotos/3cd069-MINISTERIOSALUDPUBLICAYBIENESTARSOCIALportada.jpg" \* MERGEFORMATINET </w:instrText>
    </w:r>
    <w:r>
      <w:fldChar w:fldCharType="separate"/>
    </w:r>
    <w:r>
      <w:fldChar w:fldCharType="begin"/>
    </w:r>
    <w:r>
      <w:instrText xml:space="preserve"> INCLUDEPICTURE  "https://www.mspbs.gov.py/dependencias/portal/fotos/3cd069-MINISTERIOSALUDPUBLICAYBIENESTARSOCIALportada.jpg" \* MERGEFORMATINET </w:instrText>
    </w:r>
    <w:r>
      <w:fldChar w:fldCharType="separate"/>
    </w:r>
    <w:r>
      <w:fldChar w:fldCharType="begin"/>
    </w:r>
    <w:r>
      <w:instrText xml:space="preserve"> INCLUDEPICTURE  "https://www.mspbs.gov.py/dependencias/portal/fotos/3cd069-MINISTERIOSALUDPUBLICAYBIENESTARSOCIALportada.jpg" \* MERGEFORMATINET </w:instrText>
    </w:r>
    <w:r>
      <w:fldChar w:fldCharType="separate"/>
    </w:r>
    <w:r>
      <w:fldChar w:fldCharType="begin"/>
    </w:r>
    <w:r>
      <w:instrText xml:space="preserve"> INCLUDEPICTURE  "https://www.mspbs.gov.py/dependencias/portal/fotos/3cd069-MINISTERIOSALUDPUBLICAYBIENESTARSOCIALportada.jpg" \* MERGEFORMATINET </w:instrText>
    </w:r>
    <w:r>
      <w:fldChar w:fldCharType="separate"/>
    </w:r>
    <w:r>
      <w:fldChar w:fldCharType="begin"/>
    </w:r>
    <w:r>
      <w:instrText xml:space="preserve"> INCLUDEPICTURE  "https://www.mspbs.gov.py/dependencias/portal/fotos/3cd069-MINISTERIOSALUDPUBLICAYBIENESTARSOCIALportada.jpg" \* MERGEFORMATINET </w:instrText>
    </w:r>
    <w:r>
      <w:fldChar w:fldCharType="separate"/>
    </w:r>
    <w:r>
      <w:fldChar w:fldCharType="begin"/>
    </w:r>
    <w:r>
      <w:instrText xml:space="preserve"> INCLUDEPICTURE  "https://www.mspbs.gov.py/dependencias/portal/fotos/3cd069-MINISTERIOSALUDPUBLICAYBIENESTARSOCIALportada.jpg" \* MERGEFORMATINET </w:instrText>
    </w:r>
    <w:r>
      <w:fldChar w:fldCharType="separate"/>
    </w:r>
    <w:r>
      <w:fldChar w:fldCharType="begin"/>
    </w:r>
    <w:r>
      <w:instrText xml:space="preserve"> INCLUDEPICTURE  "https://www.mspbs.gov.py/dependencias/portal/fotos/3cd069-MINISTERIOSALUDPUBLICAYBIENESTARSOCIALportada.jpg" \* MERGEFORMATINET </w:instrText>
    </w:r>
    <w:r>
      <w:fldChar w:fldCharType="separate"/>
    </w:r>
    <w:r>
      <w:fldChar w:fldCharType="begin"/>
    </w:r>
    <w:r>
      <w:instrText xml:space="preserve"> INCLUDEPICTURE  "https://www.mspbs.gov.py/dependencias/portal/fotos/3cd069-MINISTERIOSALUDPUBLICAYBIENESTARSOCIALportada.jpg" \* MERGEFORMATINET </w:instrText>
    </w:r>
    <w:r>
      <w:fldChar w:fldCharType="separate"/>
    </w:r>
    <w:r w:rsidR="00000000">
      <w:fldChar w:fldCharType="begin"/>
    </w:r>
    <w:r w:rsidR="00000000">
      <w:instrText xml:space="preserve"> INCLUDEPICTURE  "https://www.mspbs.gov.py/dependencias/portal/fotos/3cd069-MINISTERIOSALUDPUBLICAYBIENESTARSOCIALportada.jpg" \* MERGEFORMATINET </w:instrText>
    </w:r>
    <w:r w:rsidR="00000000">
      <w:fldChar w:fldCharType="separate"/>
    </w:r>
    <w:r w:rsidR="00D118B5">
      <w:pict w14:anchorId="2AAF9F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4pt;height:51.75pt">
          <v:imagedata r:id="rId2" r:href="rId1"/>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4D7A3" w14:textId="35A77631" w:rsidR="0066267F" w:rsidRDefault="00947A62" w:rsidP="0066267F">
    <w:pPr>
      <w:pStyle w:val="Encabezado"/>
      <w:rPr>
        <w:b/>
        <w:lang w:val="es-PY"/>
      </w:rPr>
    </w:pPr>
    <w:r>
      <w:fldChar w:fldCharType="begin"/>
    </w:r>
    <w:r>
      <w:instrText xml:space="preserve"> INCLUDEPICTURE  "https://www.mspbs.gov.py/dependencias/portal/fotos/3cd069-MINISTERIOSALUDPUBLICAYBIENESTARSOCIALportada.jpg" \* MERGEFORMATINET </w:instrText>
    </w:r>
    <w:r>
      <w:fldChar w:fldCharType="separate"/>
    </w:r>
    <w:r>
      <w:fldChar w:fldCharType="begin"/>
    </w:r>
    <w:r>
      <w:instrText xml:space="preserve"> INCLUDEPICTURE  "https://www.mspbs.gov.py/dependencias/portal/fotos/3cd069-MINISTERIOSALUDPUBLICAYBIENESTARSOCIALportada.jpg" \* MERGEFORMATINET </w:instrText>
    </w:r>
    <w:r>
      <w:fldChar w:fldCharType="separate"/>
    </w:r>
    <w:r>
      <w:fldChar w:fldCharType="begin"/>
    </w:r>
    <w:r>
      <w:instrText xml:space="preserve"> INCLUDEPICTURE  "https://www.mspbs.gov.py/dependencias/portal/fotos/3cd069-MINISTERIOSALUDPUBLICAYBIENESTARSOCIALportada.jpg" \* MERGEFORMATINET </w:instrText>
    </w:r>
    <w:r>
      <w:fldChar w:fldCharType="separate"/>
    </w:r>
    <w:r>
      <w:fldChar w:fldCharType="begin"/>
    </w:r>
    <w:r>
      <w:instrText xml:space="preserve"> INCLUDEPICTURE  "https://www.mspbs.gov.py/dependencias/portal/fotos/3cd069-MINISTERIOSALUDPUBLICAYBIENESTARSOCIALportada.jpg" \* MERGEFORMATINET </w:instrText>
    </w:r>
    <w:r>
      <w:fldChar w:fldCharType="separate"/>
    </w:r>
    <w:r>
      <w:fldChar w:fldCharType="begin"/>
    </w:r>
    <w:r>
      <w:instrText xml:space="preserve"> INCLUDEPICTURE  "https://www.mspbs.gov.py/dependencias/portal/fotos/3cd069-MINISTERIOSALUDPUBLICAYBIENESTARSOCIALportada.jpg" \* MERGEFORMATINET </w:instrText>
    </w:r>
    <w:r>
      <w:fldChar w:fldCharType="separate"/>
    </w:r>
    <w:r>
      <w:fldChar w:fldCharType="begin"/>
    </w:r>
    <w:r>
      <w:instrText xml:space="preserve"> INCLUDEPICTURE  "https://www.mspbs.gov.py/dependencias/portal/fotos/3cd069-MINISTERIOSALUDPUBLICAYBIENESTARSOCIALportada.jpg" \* MERGEFORMATINET </w:instrText>
    </w:r>
    <w:r>
      <w:fldChar w:fldCharType="separate"/>
    </w:r>
    <w:r>
      <w:fldChar w:fldCharType="begin"/>
    </w:r>
    <w:r>
      <w:instrText xml:space="preserve"> INCLUDEPICTURE  "https://www.mspbs.gov.py/dependencias/portal/fotos/3cd069-MINISTERIOSALUDPUBLICAYBIENESTARSOCIALportada.jpg" \* MERGEFORMATINET </w:instrText>
    </w:r>
    <w:r>
      <w:fldChar w:fldCharType="separate"/>
    </w:r>
    <w:r>
      <w:fldChar w:fldCharType="begin"/>
    </w:r>
    <w:r>
      <w:instrText xml:space="preserve"> INCLUDEPICTURE  "https://www.mspbs.gov.py/dependencias/portal/fotos/3cd069-MINISTERIOSALUDPUBLICAYBIENESTARSOCIALportada.jpg" \* MERGEFORMATINET </w:instrText>
    </w:r>
    <w:r>
      <w:fldChar w:fldCharType="separate"/>
    </w:r>
    <w:r w:rsidR="00000000">
      <w:fldChar w:fldCharType="begin"/>
    </w:r>
    <w:r w:rsidR="00000000">
      <w:instrText xml:space="preserve"> INCLUDEPICTURE  "https://www.mspbs.gov.py/dependencias/portal/fotos/3cd069-MINISTERIOSALUDPUBLICAYBIENESTARSOCIALportada.jpg" \* MERGEFORMATINET </w:instrText>
    </w:r>
    <w:r w:rsidR="00000000">
      <w:fldChar w:fldCharType="separate"/>
    </w:r>
    <w:r w:rsidR="00D118B5">
      <w:pict w14:anchorId="187BE4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44pt;height:51.75pt">
          <v:imagedata r:id="rId2" r:href="rId1"/>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361168B9" w14:textId="77777777" w:rsidR="0066267F" w:rsidRDefault="0066267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54147"/>
    <w:multiLevelType w:val="hybridMultilevel"/>
    <w:tmpl w:val="23166702"/>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 w15:restartNumberingAfterBreak="0">
    <w:nsid w:val="0A3E0CCB"/>
    <w:multiLevelType w:val="multilevel"/>
    <w:tmpl w:val="9AEA819E"/>
    <w:lvl w:ilvl="0">
      <w:start w:val="1"/>
      <w:numFmt w:val="decimal"/>
      <w:lvlText w:val="%1"/>
      <w:lvlJc w:val="left"/>
      <w:pPr>
        <w:ind w:left="432" w:hanging="432"/>
      </w:pPr>
      <w:rPr>
        <w:rFonts w:hint="default"/>
      </w:rPr>
    </w:lvl>
    <w:lvl w:ilvl="1">
      <w:start w:val="1"/>
      <w:numFmt w:val="decimal"/>
      <w:lvlText w:val="II.%2"/>
      <w:lvlJc w:val="left"/>
      <w:pPr>
        <w:ind w:left="576" w:hanging="576"/>
      </w:pPr>
      <w:rPr>
        <w:rFonts w:ascii="Times New Roman" w:hAnsi="Times New Roman" w:hint="default"/>
        <w:b/>
        <w:i w:val="0"/>
        <w:color w:val="417A84" w:themeColor="accent5" w:themeShade="BF"/>
        <w:sz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B026F97"/>
    <w:multiLevelType w:val="hybridMultilevel"/>
    <w:tmpl w:val="90D6DF2C"/>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 w15:restartNumberingAfterBreak="0">
    <w:nsid w:val="0E9520E3"/>
    <w:multiLevelType w:val="multilevel"/>
    <w:tmpl w:val="286E5C86"/>
    <w:styleLink w:val="Estilo1"/>
    <w:lvl w:ilvl="0">
      <w:start w:val="1"/>
      <w:numFmt w:val="decimal"/>
      <w:lvlText w:val="%1"/>
      <w:lvlJc w:val="left"/>
      <w:pPr>
        <w:ind w:left="432" w:hanging="432"/>
      </w:pPr>
      <w:rPr>
        <w:rFonts w:hint="default"/>
      </w:rPr>
    </w:lvl>
    <w:lvl w:ilvl="1">
      <w:start w:val="1"/>
      <w:numFmt w:val="decimal"/>
      <w:lvlText w:val="I.%2"/>
      <w:lvlJc w:val="left"/>
      <w:pPr>
        <w:ind w:left="576" w:hanging="576"/>
      </w:pPr>
      <w:rPr>
        <w:rFonts w:ascii="Times New Roman" w:hAnsi="Times New Roman" w:hint="default"/>
        <w:b w:val="0"/>
        <w:i w:val="0"/>
        <w:color w:val="auto"/>
        <w:sz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DDD5650"/>
    <w:multiLevelType w:val="hybridMultilevel"/>
    <w:tmpl w:val="C5721C8A"/>
    <w:lvl w:ilvl="0" w:tplc="878A4A0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11E334A"/>
    <w:multiLevelType w:val="multilevel"/>
    <w:tmpl w:val="B80AE8E2"/>
    <w:lvl w:ilvl="0">
      <w:start w:val="1"/>
      <w:numFmt w:val="decimal"/>
      <w:lvlText w:val="%1"/>
      <w:lvlJc w:val="left"/>
      <w:pPr>
        <w:ind w:left="432" w:hanging="432"/>
      </w:pPr>
      <w:rPr>
        <w:rFonts w:hint="default"/>
      </w:rPr>
    </w:lvl>
    <w:lvl w:ilvl="1">
      <w:start w:val="1"/>
      <w:numFmt w:val="decimal"/>
      <w:lvlText w:val="I.%2"/>
      <w:lvlJc w:val="left"/>
      <w:pPr>
        <w:ind w:left="576" w:hanging="576"/>
      </w:pPr>
      <w:rPr>
        <w:rFonts w:ascii="Times New Roman" w:hAnsi="Times New Roman" w:hint="default"/>
        <w:b/>
        <w:i w:val="0"/>
        <w:color w:val="417A84" w:themeColor="accent5" w:themeShade="BF"/>
        <w:sz w:val="24"/>
      </w:rPr>
    </w:lvl>
    <w:lvl w:ilvl="2">
      <w:start w:val="1"/>
      <w:numFmt w:val="decimal"/>
      <w:lvlText w:val="%1.%2.%3"/>
      <w:lvlJc w:val="left"/>
      <w:pPr>
        <w:ind w:left="720" w:hanging="720"/>
      </w:pPr>
      <w:rPr>
        <w:rFonts w:hint="default"/>
      </w:rPr>
    </w:lvl>
    <w:lvl w:ilvl="3">
      <w:start w:val="1"/>
      <w:numFmt w:val="bullet"/>
      <w:lvlText w:val=""/>
      <w:lvlJc w:val="left"/>
      <w:pPr>
        <w:ind w:left="864" w:hanging="864"/>
      </w:pPr>
      <w:rPr>
        <w:rFonts w:ascii="Wingdings" w:hAnsi="Wingding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26EB37B0"/>
    <w:multiLevelType w:val="multilevel"/>
    <w:tmpl w:val="3C0A001D"/>
    <w:styleLink w:val="Estilo4"/>
    <w:lvl w:ilvl="0">
      <w:start w:val="1"/>
      <w:numFmt w:val="decimal"/>
      <w:lvlText w:val="%1)"/>
      <w:lvlJc w:val="left"/>
      <w:pPr>
        <w:ind w:left="360" w:hanging="360"/>
      </w:pPr>
      <w:rPr>
        <w:rFonts w:ascii="Times New Roman" w:hAnsi="Times New Roman"/>
        <w:color w:val="000000" w:themeColor="text1"/>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C7E081F"/>
    <w:multiLevelType w:val="multilevel"/>
    <w:tmpl w:val="5942A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9B61B7"/>
    <w:multiLevelType w:val="multilevel"/>
    <w:tmpl w:val="774C12EC"/>
    <w:lvl w:ilvl="0">
      <w:start w:val="1"/>
      <w:numFmt w:val="decimal"/>
      <w:lvlText w:val="%1"/>
      <w:lvlJc w:val="left"/>
      <w:pPr>
        <w:ind w:left="432" w:hanging="432"/>
      </w:pPr>
      <w:rPr>
        <w:rFonts w:hint="default"/>
      </w:rPr>
    </w:lvl>
    <w:lvl w:ilvl="1">
      <w:start w:val="1"/>
      <w:numFmt w:val="decimal"/>
      <w:lvlText w:val="I.%2"/>
      <w:lvlJc w:val="left"/>
      <w:pPr>
        <w:ind w:left="576" w:hanging="576"/>
      </w:pPr>
      <w:rPr>
        <w:rFonts w:ascii="Times New Roman" w:hAnsi="Times New Roman" w:hint="default"/>
        <w:b/>
        <w:i w:val="0"/>
        <w:color w:val="417A84" w:themeColor="accent5" w:themeShade="BF"/>
        <w:sz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3AC6723E"/>
    <w:multiLevelType w:val="hybridMultilevel"/>
    <w:tmpl w:val="1A3E31E4"/>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0" w15:restartNumberingAfterBreak="0">
    <w:nsid w:val="3DD4379E"/>
    <w:multiLevelType w:val="hybridMultilevel"/>
    <w:tmpl w:val="D8F4A4D4"/>
    <w:lvl w:ilvl="0" w:tplc="3C0A000D">
      <w:start w:val="1"/>
      <w:numFmt w:val="bullet"/>
      <w:lvlText w:val=""/>
      <w:lvlJc w:val="left"/>
      <w:pPr>
        <w:ind w:left="720" w:hanging="360"/>
      </w:pPr>
      <w:rPr>
        <w:rFonts w:ascii="Wingdings" w:hAnsi="Wingding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1" w15:restartNumberingAfterBreak="0">
    <w:nsid w:val="49063477"/>
    <w:multiLevelType w:val="multilevel"/>
    <w:tmpl w:val="0332E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376B8D"/>
    <w:multiLevelType w:val="multilevel"/>
    <w:tmpl w:val="6DEC6158"/>
    <w:styleLink w:val="Estilo2"/>
    <w:lvl w:ilvl="0">
      <w:start w:val="1"/>
      <w:numFmt w:val="decimal"/>
      <w:lvlText w:val="%1"/>
      <w:lvlJc w:val="left"/>
      <w:pPr>
        <w:ind w:left="432" w:hanging="432"/>
      </w:pPr>
      <w:rPr>
        <w:rFonts w:hint="default"/>
      </w:rPr>
    </w:lvl>
    <w:lvl w:ilvl="1">
      <w:start w:val="1"/>
      <w:numFmt w:val="decimal"/>
      <w:lvlText w:val="I.%2"/>
      <w:lvlJc w:val="left"/>
      <w:pPr>
        <w:ind w:left="576" w:hanging="576"/>
      </w:pPr>
      <w:rPr>
        <w:rFonts w:ascii="Times New Roman" w:hAnsi="Times New Roman" w:hint="default"/>
        <w:b/>
        <w:i w:val="0"/>
        <w:color w:val="417A84" w:themeColor="accent5" w:themeShade="BF"/>
        <w:sz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4F2E5438"/>
    <w:multiLevelType w:val="hybridMultilevel"/>
    <w:tmpl w:val="7D3CED52"/>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4" w15:restartNumberingAfterBreak="0">
    <w:nsid w:val="541852F3"/>
    <w:multiLevelType w:val="hybridMultilevel"/>
    <w:tmpl w:val="0CA20BDA"/>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5" w15:restartNumberingAfterBreak="0">
    <w:nsid w:val="543C4CA9"/>
    <w:multiLevelType w:val="hybridMultilevel"/>
    <w:tmpl w:val="8DD82A56"/>
    <w:lvl w:ilvl="0" w:tplc="3C0A0001">
      <w:start w:val="1"/>
      <w:numFmt w:val="bullet"/>
      <w:lvlText w:val=""/>
      <w:lvlJc w:val="left"/>
      <w:pPr>
        <w:tabs>
          <w:tab w:val="num" w:pos="567"/>
        </w:tabs>
        <w:ind w:left="567" w:hanging="45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6A11517"/>
    <w:multiLevelType w:val="multilevel"/>
    <w:tmpl w:val="DFB25058"/>
    <w:lvl w:ilvl="0">
      <w:start w:val="1"/>
      <w:numFmt w:val="upperRoman"/>
      <w:lvlText w:val="%1"/>
      <w:lvlJc w:val="left"/>
      <w:pPr>
        <w:ind w:left="432" w:hanging="432"/>
      </w:pPr>
      <w:rPr>
        <w:rFonts w:hint="default"/>
      </w:rPr>
    </w:lvl>
    <w:lvl w:ilvl="1">
      <w:start w:val="1"/>
      <w:numFmt w:val="decimal"/>
      <w:lvlText w:val="I.%2"/>
      <w:lvlJc w:val="left"/>
      <w:pPr>
        <w:ind w:left="576" w:hanging="576"/>
      </w:pPr>
      <w:rPr>
        <w:rFonts w:ascii="Times New Roman" w:hAnsi="Times New Roman" w:hint="default"/>
        <w:b/>
        <w:i w:val="0"/>
        <w:color w:val="417A84" w:themeColor="accent5" w:themeShade="BF"/>
        <w:sz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5EE41F38"/>
    <w:multiLevelType w:val="multilevel"/>
    <w:tmpl w:val="5936ED10"/>
    <w:styleLink w:val="Estilo3"/>
    <w:lvl w:ilvl="0">
      <w:start w:val="1"/>
      <w:numFmt w:val="decimal"/>
      <w:lvlText w:val="%1"/>
      <w:lvlJc w:val="left"/>
      <w:pPr>
        <w:ind w:left="432" w:hanging="432"/>
      </w:pPr>
      <w:rPr>
        <w:rFonts w:ascii="Times New Roman" w:hAnsi="Times New Roman" w:hint="default"/>
        <w:color w:val="auto"/>
        <w:sz w:val="20"/>
      </w:rPr>
    </w:lvl>
    <w:lvl w:ilvl="1">
      <w:start w:val="1"/>
      <w:numFmt w:val="decimal"/>
      <w:lvlText w:val="I.%2"/>
      <w:lvlJc w:val="left"/>
      <w:pPr>
        <w:ind w:left="576" w:hanging="576"/>
      </w:pPr>
      <w:rPr>
        <w:rFonts w:ascii="Times New Roman" w:hAnsi="Times New Roman" w:hint="default"/>
        <w:b/>
        <w:i w:val="0"/>
        <w:color w:val="417A84" w:themeColor="accent5" w:themeShade="BF"/>
        <w:sz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67015769"/>
    <w:multiLevelType w:val="multilevel"/>
    <w:tmpl w:val="05167C0E"/>
    <w:lvl w:ilvl="0">
      <w:start w:val="1"/>
      <w:numFmt w:val="decimal"/>
      <w:lvlText w:val="%1."/>
      <w:lvlJc w:val="left"/>
      <w:pPr>
        <w:tabs>
          <w:tab w:val="num" w:pos="3192"/>
        </w:tabs>
        <w:ind w:left="3192" w:hanging="360"/>
      </w:pPr>
      <w:rPr>
        <w:b/>
        <w:bCs/>
      </w:rPr>
    </w:lvl>
    <w:lvl w:ilvl="1" w:tentative="1">
      <w:start w:val="1"/>
      <w:numFmt w:val="decimal"/>
      <w:lvlText w:val="%2."/>
      <w:lvlJc w:val="left"/>
      <w:pPr>
        <w:tabs>
          <w:tab w:val="num" w:pos="3912"/>
        </w:tabs>
        <w:ind w:left="3912" w:hanging="360"/>
      </w:pPr>
    </w:lvl>
    <w:lvl w:ilvl="2" w:tentative="1">
      <w:start w:val="1"/>
      <w:numFmt w:val="decimal"/>
      <w:lvlText w:val="%3."/>
      <w:lvlJc w:val="left"/>
      <w:pPr>
        <w:tabs>
          <w:tab w:val="num" w:pos="4632"/>
        </w:tabs>
        <w:ind w:left="4632" w:hanging="360"/>
      </w:pPr>
    </w:lvl>
    <w:lvl w:ilvl="3" w:tentative="1">
      <w:start w:val="1"/>
      <w:numFmt w:val="decimal"/>
      <w:lvlText w:val="%4."/>
      <w:lvlJc w:val="left"/>
      <w:pPr>
        <w:tabs>
          <w:tab w:val="num" w:pos="5352"/>
        </w:tabs>
        <w:ind w:left="5352" w:hanging="360"/>
      </w:pPr>
    </w:lvl>
    <w:lvl w:ilvl="4" w:tentative="1">
      <w:start w:val="1"/>
      <w:numFmt w:val="decimal"/>
      <w:lvlText w:val="%5."/>
      <w:lvlJc w:val="left"/>
      <w:pPr>
        <w:tabs>
          <w:tab w:val="num" w:pos="6072"/>
        </w:tabs>
        <w:ind w:left="6072" w:hanging="360"/>
      </w:pPr>
    </w:lvl>
    <w:lvl w:ilvl="5" w:tentative="1">
      <w:start w:val="1"/>
      <w:numFmt w:val="decimal"/>
      <w:lvlText w:val="%6."/>
      <w:lvlJc w:val="left"/>
      <w:pPr>
        <w:tabs>
          <w:tab w:val="num" w:pos="6792"/>
        </w:tabs>
        <w:ind w:left="6792" w:hanging="360"/>
      </w:pPr>
    </w:lvl>
    <w:lvl w:ilvl="6" w:tentative="1">
      <w:start w:val="1"/>
      <w:numFmt w:val="decimal"/>
      <w:lvlText w:val="%7."/>
      <w:lvlJc w:val="left"/>
      <w:pPr>
        <w:tabs>
          <w:tab w:val="num" w:pos="7512"/>
        </w:tabs>
        <w:ind w:left="7512" w:hanging="360"/>
      </w:pPr>
    </w:lvl>
    <w:lvl w:ilvl="7" w:tentative="1">
      <w:start w:val="1"/>
      <w:numFmt w:val="decimal"/>
      <w:lvlText w:val="%8."/>
      <w:lvlJc w:val="left"/>
      <w:pPr>
        <w:tabs>
          <w:tab w:val="num" w:pos="8232"/>
        </w:tabs>
        <w:ind w:left="8232" w:hanging="360"/>
      </w:pPr>
    </w:lvl>
    <w:lvl w:ilvl="8" w:tentative="1">
      <w:start w:val="1"/>
      <w:numFmt w:val="decimal"/>
      <w:lvlText w:val="%9."/>
      <w:lvlJc w:val="left"/>
      <w:pPr>
        <w:tabs>
          <w:tab w:val="num" w:pos="8952"/>
        </w:tabs>
        <w:ind w:left="8952" w:hanging="360"/>
      </w:pPr>
    </w:lvl>
  </w:abstractNum>
  <w:abstractNum w:abstractNumId="19" w15:restartNumberingAfterBreak="0">
    <w:nsid w:val="69524C40"/>
    <w:multiLevelType w:val="multilevel"/>
    <w:tmpl w:val="5936ED10"/>
    <w:numStyleLink w:val="Estilo3"/>
  </w:abstractNum>
  <w:abstractNum w:abstractNumId="20" w15:restartNumberingAfterBreak="0">
    <w:nsid w:val="70B80DE1"/>
    <w:multiLevelType w:val="hybridMultilevel"/>
    <w:tmpl w:val="D436BCD6"/>
    <w:lvl w:ilvl="0" w:tplc="3C0A000B">
      <w:start w:val="1"/>
      <w:numFmt w:val="bullet"/>
      <w:lvlText w:val=""/>
      <w:lvlJc w:val="left"/>
      <w:pPr>
        <w:ind w:left="720" w:hanging="360"/>
      </w:pPr>
      <w:rPr>
        <w:rFonts w:ascii="Wingdings" w:hAnsi="Wingding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1" w15:restartNumberingAfterBreak="0">
    <w:nsid w:val="73CD44AE"/>
    <w:multiLevelType w:val="hybridMultilevel"/>
    <w:tmpl w:val="3C341C9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5A57FC7"/>
    <w:multiLevelType w:val="hybridMultilevel"/>
    <w:tmpl w:val="27BE0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72220697">
    <w:abstractNumId w:val="8"/>
  </w:num>
  <w:num w:numId="2" w16cid:durableId="213154251">
    <w:abstractNumId w:val="3"/>
  </w:num>
  <w:num w:numId="3" w16cid:durableId="1037855619">
    <w:abstractNumId w:val="19"/>
  </w:num>
  <w:num w:numId="4" w16cid:durableId="793642109">
    <w:abstractNumId w:val="12"/>
  </w:num>
  <w:num w:numId="5" w16cid:durableId="1020938050">
    <w:abstractNumId w:val="16"/>
  </w:num>
  <w:num w:numId="6" w16cid:durableId="1412193651">
    <w:abstractNumId w:val="1"/>
  </w:num>
  <w:num w:numId="7" w16cid:durableId="684132538">
    <w:abstractNumId w:val="17"/>
  </w:num>
  <w:num w:numId="8" w16cid:durableId="1855607381">
    <w:abstractNumId w:val="6"/>
  </w:num>
  <w:num w:numId="9" w16cid:durableId="1409770216">
    <w:abstractNumId w:val="15"/>
  </w:num>
  <w:num w:numId="10" w16cid:durableId="912589867">
    <w:abstractNumId w:val="20"/>
  </w:num>
  <w:num w:numId="11" w16cid:durableId="28919029">
    <w:abstractNumId w:val="19"/>
    <w:lvlOverride w:ilvl="0">
      <w:lvl w:ilvl="0">
        <w:numFmt w:val="decimal"/>
        <w:lvlText w:val=""/>
        <w:lvlJc w:val="left"/>
      </w:lvl>
    </w:lvlOverride>
    <w:lvlOverride w:ilvl="1">
      <w:lvl w:ilvl="1">
        <w:start w:val="1"/>
        <w:numFmt w:val="decimal"/>
        <w:lvlText w:val="I.%2"/>
        <w:lvlJc w:val="left"/>
        <w:pPr>
          <w:ind w:left="576" w:hanging="576"/>
        </w:pPr>
        <w:rPr>
          <w:rFonts w:ascii="Times New Roman" w:hAnsi="Times New Roman" w:hint="default"/>
          <w:b/>
          <w:i w:val="0"/>
          <w:color w:val="00529C"/>
          <w:sz w:val="24"/>
        </w:rPr>
      </w:lvl>
    </w:lvlOverride>
  </w:num>
  <w:num w:numId="12" w16cid:durableId="1260405507">
    <w:abstractNumId w:val="5"/>
  </w:num>
  <w:num w:numId="13" w16cid:durableId="2045330712">
    <w:abstractNumId w:val="10"/>
  </w:num>
  <w:num w:numId="14" w16cid:durableId="2119449300">
    <w:abstractNumId w:val="2"/>
  </w:num>
  <w:num w:numId="15" w16cid:durableId="1123159727">
    <w:abstractNumId w:val="0"/>
  </w:num>
  <w:num w:numId="16" w16cid:durableId="41252838">
    <w:abstractNumId w:val="14"/>
  </w:num>
  <w:num w:numId="17" w16cid:durableId="1033968423">
    <w:abstractNumId w:val="13"/>
  </w:num>
  <w:num w:numId="18" w16cid:durableId="2012680600">
    <w:abstractNumId w:val="11"/>
  </w:num>
  <w:num w:numId="19" w16cid:durableId="150413390">
    <w:abstractNumId w:val="4"/>
  </w:num>
  <w:num w:numId="20" w16cid:durableId="910117840">
    <w:abstractNumId w:val="22"/>
  </w:num>
  <w:num w:numId="21" w16cid:durableId="1506241521">
    <w:abstractNumId w:val="18"/>
  </w:num>
  <w:num w:numId="22" w16cid:durableId="209852028">
    <w:abstractNumId w:val="7"/>
  </w:num>
  <w:num w:numId="23" w16cid:durableId="795221118">
    <w:abstractNumId w:val="9"/>
  </w:num>
  <w:num w:numId="24" w16cid:durableId="925960113">
    <w:abstractNumId w:val="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08"/>
  <w:hyphenationZone w:val="425"/>
  <w:evenAndOddHeaders/>
  <w:drawingGridHorizontalSpacing w:val="110"/>
  <w:displayHorizontalDrawingGridEvery w:val="2"/>
  <w:characterSpacingControl w:val="doNotCompress"/>
  <w:hdrShapeDefaults>
    <o:shapedefaults v:ext="edit" spidmax="2050">
      <o:colormru v:ext="edit" colors="#ccec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BAB"/>
    <w:rsid w:val="00002F82"/>
    <w:rsid w:val="00006AFB"/>
    <w:rsid w:val="00010920"/>
    <w:rsid w:val="00011D91"/>
    <w:rsid w:val="000138BC"/>
    <w:rsid w:val="00015351"/>
    <w:rsid w:val="00016338"/>
    <w:rsid w:val="00020984"/>
    <w:rsid w:val="000214A8"/>
    <w:rsid w:val="000270DB"/>
    <w:rsid w:val="00035C3E"/>
    <w:rsid w:val="00037B06"/>
    <w:rsid w:val="00041016"/>
    <w:rsid w:val="00043ED9"/>
    <w:rsid w:val="00044B2D"/>
    <w:rsid w:val="00045F40"/>
    <w:rsid w:val="00051618"/>
    <w:rsid w:val="0005183A"/>
    <w:rsid w:val="00052AD8"/>
    <w:rsid w:val="00052E6F"/>
    <w:rsid w:val="000539B7"/>
    <w:rsid w:val="0005593D"/>
    <w:rsid w:val="00055F01"/>
    <w:rsid w:val="000569B3"/>
    <w:rsid w:val="000617A7"/>
    <w:rsid w:val="000672C9"/>
    <w:rsid w:val="0007438E"/>
    <w:rsid w:val="00074B35"/>
    <w:rsid w:val="000771CD"/>
    <w:rsid w:val="00077578"/>
    <w:rsid w:val="00077E77"/>
    <w:rsid w:val="000800EC"/>
    <w:rsid w:val="0008101D"/>
    <w:rsid w:val="000827A8"/>
    <w:rsid w:val="000929B8"/>
    <w:rsid w:val="00094BAA"/>
    <w:rsid w:val="000A127F"/>
    <w:rsid w:val="000A36F5"/>
    <w:rsid w:val="000A439A"/>
    <w:rsid w:val="000A5122"/>
    <w:rsid w:val="000B002D"/>
    <w:rsid w:val="000B0377"/>
    <w:rsid w:val="000B080C"/>
    <w:rsid w:val="000B0AAB"/>
    <w:rsid w:val="000B1065"/>
    <w:rsid w:val="000B31A9"/>
    <w:rsid w:val="000B4060"/>
    <w:rsid w:val="000B5356"/>
    <w:rsid w:val="000B5CAC"/>
    <w:rsid w:val="000B7F97"/>
    <w:rsid w:val="000C0D13"/>
    <w:rsid w:val="000C24E1"/>
    <w:rsid w:val="000C37AC"/>
    <w:rsid w:val="000C7223"/>
    <w:rsid w:val="000D6C7C"/>
    <w:rsid w:val="000D7013"/>
    <w:rsid w:val="000E1536"/>
    <w:rsid w:val="000E17E3"/>
    <w:rsid w:val="000E2E2E"/>
    <w:rsid w:val="000E31A4"/>
    <w:rsid w:val="000E382C"/>
    <w:rsid w:val="000E4086"/>
    <w:rsid w:val="000E6541"/>
    <w:rsid w:val="000E77FF"/>
    <w:rsid w:val="000F210C"/>
    <w:rsid w:val="000F3E03"/>
    <w:rsid w:val="000F4AE1"/>
    <w:rsid w:val="000F5AF3"/>
    <w:rsid w:val="001047F0"/>
    <w:rsid w:val="00106DD0"/>
    <w:rsid w:val="001073FC"/>
    <w:rsid w:val="00111541"/>
    <w:rsid w:val="00111A23"/>
    <w:rsid w:val="00112453"/>
    <w:rsid w:val="00115320"/>
    <w:rsid w:val="00115962"/>
    <w:rsid w:val="001164B4"/>
    <w:rsid w:val="001177C2"/>
    <w:rsid w:val="00120857"/>
    <w:rsid w:val="00122C71"/>
    <w:rsid w:val="00123354"/>
    <w:rsid w:val="001241CF"/>
    <w:rsid w:val="00125071"/>
    <w:rsid w:val="00125DAD"/>
    <w:rsid w:val="001268B1"/>
    <w:rsid w:val="00130CD5"/>
    <w:rsid w:val="00133F90"/>
    <w:rsid w:val="001351DB"/>
    <w:rsid w:val="0013772B"/>
    <w:rsid w:val="00143D93"/>
    <w:rsid w:val="00144E1D"/>
    <w:rsid w:val="001473EE"/>
    <w:rsid w:val="001512B2"/>
    <w:rsid w:val="0015634C"/>
    <w:rsid w:val="0015777F"/>
    <w:rsid w:val="00157F90"/>
    <w:rsid w:val="00161366"/>
    <w:rsid w:val="001673FB"/>
    <w:rsid w:val="0017259E"/>
    <w:rsid w:val="0017286B"/>
    <w:rsid w:val="001777AD"/>
    <w:rsid w:val="00181E2A"/>
    <w:rsid w:val="00182D2B"/>
    <w:rsid w:val="00182F9F"/>
    <w:rsid w:val="00186984"/>
    <w:rsid w:val="00187EE3"/>
    <w:rsid w:val="00190D0F"/>
    <w:rsid w:val="001922E4"/>
    <w:rsid w:val="001947DC"/>
    <w:rsid w:val="00197F4B"/>
    <w:rsid w:val="001A1CE1"/>
    <w:rsid w:val="001A5752"/>
    <w:rsid w:val="001B10EF"/>
    <w:rsid w:val="001B1341"/>
    <w:rsid w:val="001B238C"/>
    <w:rsid w:val="001B3906"/>
    <w:rsid w:val="001B3920"/>
    <w:rsid w:val="001B65E8"/>
    <w:rsid w:val="001B7A24"/>
    <w:rsid w:val="001C026E"/>
    <w:rsid w:val="001D10CE"/>
    <w:rsid w:val="001D218D"/>
    <w:rsid w:val="001D59BA"/>
    <w:rsid w:val="001D5D53"/>
    <w:rsid w:val="001E23DA"/>
    <w:rsid w:val="001E2FB2"/>
    <w:rsid w:val="001E3E46"/>
    <w:rsid w:val="001E445A"/>
    <w:rsid w:val="001E4CC4"/>
    <w:rsid w:val="001E5735"/>
    <w:rsid w:val="001E5BBC"/>
    <w:rsid w:val="001F24C7"/>
    <w:rsid w:val="001F4C64"/>
    <w:rsid w:val="001F7948"/>
    <w:rsid w:val="00203ABE"/>
    <w:rsid w:val="00205FB3"/>
    <w:rsid w:val="00207121"/>
    <w:rsid w:val="002078DE"/>
    <w:rsid w:val="002118FD"/>
    <w:rsid w:val="00212283"/>
    <w:rsid w:val="00212853"/>
    <w:rsid w:val="00222D71"/>
    <w:rsid w:val="00223E37"/>
    <w:rsid w:val="00236E96"/>
    <w:rsid w:val="002426A5"/>
    <w:rsid w:val="00243FDE"/>
    <w:rsid w:val="002460AA"/>
    <w:rsid w:val="00247A6F"/>
    <w:rsid w:val="00250953"/>
    <w:rsid w:val="00251A92"/>
    <w:rsid w:val="00256BD9"/>
    <w:rsid w:val="00257D18"/>
    <w:rsid w:val="00260174"/>
    <w:rsid w:val="00260ED4"/>
    <w:rsid w:val="002657CA"/>
    <w:rsid w:val="002667ED"/>
    <w:rsid w:val="00271F40"/>
    <w:rsid w:val="00275426"/>
    <w:rsid w:val="00275AE0"/>
    <w:rsid w:val="002767C8"/>
    <w:rsid w:val="00280EDD"/>
    <w:rsid w:val="00290F5A"/>
    <w:rsid w:val="002922AC"/>
    <w:rsid w:val="00292596"/>
    <w:rsid w:val="00294BC5"/>
    <w:rsid w:val="00295BAB"/>
    <w:rsid w:val="002966D9"/>
    <w:rsid w:val="0029672C"/>
    <w:rsid w:val="002973FD"/>
    <w:rsid w:val="002A16B2"/>
    <w:rsid w:val="002A7BB6"/>
    <w:rsid w:val="002B00E4"/>
    <w:rsid w:val="002B054D"/>
    <w:rsid w:val="002B22D5"/>
    <w:rsid w:val="002C0613"/>
    <w:rsid w:val="002C0D38"/>
    <w:rsid w:val="002C185A"/>
    <w:rsid w:val="002D2CCF"/>
    <w:rsid w:val="002D4A14"/>
    <w:rsid w:val="002D4E05"/>
    <w:rsid w:val="002D5F88"/>
    <w:rsid w:val="002D69FC"/>
    <w:rsid w:val="002E1E3D"/>
    <w:rsid w:val="002E3176"/>
    <w:rsid w:val="002E3A95"/>
    <w:rsid w:val="002E3E38"/>
    <w:rsid w:val="002E43E5"/>
    <w:rsid w:val="002E520E"/>
    <w:rsid w:val="002F4094"/>
    <w:rsid w:val="002F5105"/>
    <w:rsid w:val="00310471"/>
    <w:rsid w:val="003115DC"/>
    <w:rsid w:val="003140BC"/>
    <w:rsid w:val="0031556B"/>
    <w:rsid w:val="0032280F"/>
    <w:rsid w:val="00322DD9"/>
    <w:rsid w:val="0032342B"/>
    <w:rsid w:val="00323F88"/>
    <w:rsid w:val="003246DA"/>
    <w:rsid w:val="003258D6"/>
    <w:rsid w:val="00334343"/>
    <w:rsid w:val="0033680B"/>
    <w:rsid w:val="00340F91"/>
    <w:rsid w:val="003419D8"/>
    <w:rsid w:val="003477DD"/>
    <w:rsid w:val="003517E3"/>
    <w:rsid w:val="00351BAE"/>
    <w:rsid w:val="00351D0B"/>
    <w:rsid w:val="0035229D"/>
    <w:rsid w:val="00352848"/>
    <w:rsid w:val="00353E5E"/>
    <w:rsid w:val="00354874"/>
    <w:rsid w:val="00355BD0"/>
    <w:rsid w:val="003638D2"/>
    <w:rsid w:val="00364B86"/>
    <w:rsid w:val="003652E2"/>
    <w:rsid w:val="00367919"/>
    <w:rsid w:val="00372430"/>
    <w:rsid w:val="00373948"/>
    <w:rsid w:val="00374E4B"/>
    <w:rsid w:val="00374FE1"/>
    <w:rsid w:val="00375190"/>
    <w:rsid w:val="00376778"/>
    <w:rsid w:val="00381906"/>
    <w:rsid w:val="00382342"/>
    <w:rsid w:val="00382ECA"/>
    <w:rsid w:val="00384716"/>
    <w:rsid w:val="00384ADA"/>
    <w:rsid w:val="003A3D19"/>
    <w:rsid w:val="003A58C6"/>
    <w:rsid w:val="003A7414"/>
    <w:rsid w:val="003B0380"/>
    <w:rsid w:val="003B4A34"/>
    <w:rsid w:val="003C0A4E"/>
    <w:rsid w:val="003C3DC4"/>
    <w:rsid w:val="003C4D6C"/>
    <w:rsid w:val="003C5769"/>
    <w:rsid w:val="003D00FB"/>
    <w:rsid w:val="003D1FCB"/>
    <w:rsid w:val="003D4B7A"/>
    <w:rsid w:val="003D512E"/>
    <w:rsid w:val="003D6C72"/>
    <w:rsid w:val="003E00D5"/>
    <w:rsid w:val="003E0B90"/>
    <w:rsid w:val="003E23FF"/>
    <w:rsid w:val="003E5A3B"/>
    <w:rsid w:val="003E69F0"/>
    <w:rsid w:val="003F10AD"/>
    <w:rsid w:val="003F1A7E"/>
    <w:rsid w:val="003F27D7"/>
    <w:rsid w:val="003F34C9"/>
    <w:rsid w:val="003F36C0"/>
    <w:rsid w:val="003F3DF3"/>
    <w:rsid w:val="003F5B69"/>
    <w:rsid w:val="004002D4"/>
    <w:rsid w:val="0040066B"/>
    <w:rsid w:val="00402BEB"/>
    <w:rsid w:val="00410221"/>
    <w:rsid w:val="0041361C"/>
    <w:rsid w:val="00414FA1"/>
    <w:rsid w:val="00423960"/>
    <w:rsid w:val="00424A1B"/>
    <w:rsid w:val="0042579C"/>
    <w:rsid w:val="00427099"/>
    <w:rsid w:val="004312E4"/>
    <w:rsid w:val="00434C57"/>
    <w:rsid w:val="00437F67"/>
    <w:rsid w:val="00440788"/>
    <w:rsid w:val="00442963"/>
    <w:rsid w:val="00450C37"/>
    <w:rsid w:val="00451BB0"/>
    <w:rsid w:val="00452CD5"/>
    <w:rsid w:val="004538FF"/>
    <w:rsid w:val="00456C09"/>
    <w:rsid w:val="00457BDA"/>
    <w:rsid w:val="00460685"/>
    <w:rsid w:val="004656B7"/>
    <w:rsid w:val="004662C9"/>
    <w:rsid w:val="004663C3"/>
    <w:rsid w:val="00473AF6"/>
    <w:rsid w:val="00475597"/>
    <w:rsid w:val="00476974"/>
    <w:rsid w:val="0048101D"/>
    <w:rsid w:val="004864CC"/>
    <w:rsid w:val="00492401"/>
    <w:rsid w:val="00493776"/>
    <w:rsid w:val="00494290"/>
    <w:rsid w:val="00496960"/>
    <w:rsid w:val="004A00A0"/>
    <w:rsid w:val="004A2554"/>
    <w:rsid w:val="004A7EB7"/>
    <w:rsid w:val="004B0D1F"/>
    <w:rsid w:val="004B1A17"/>
    <w:rsid w:val="004B642A"/>
    <w:rsid w:val="004C06CD"/>
    <w:rsid w:val="004C2D7D"/>
    <w:rsid w:val="004C3717"/>
    <w:rsid w:val="004C4EF5"/>
    <w:rsid w:val="004C53F9"/>
    <w:rsid w:val="004D5ACE"/>
    <w:rsid w:val="004D737C"/>
    <w:rsid w:val="004D7C6A"/>
    <w:rsid w:val="004E14CB"/>
    <w:rsid w:val="004E3746"/>
    <w:rsid w:val="004E51B2"/>
    <w:rsid w:val="004E5961"/>
    <w:rsid w:val="004E696A"/>
    <w:rsid w:val="004E79ED"/>
    <w:rsid w:val="004F68E7"/>
    <w:rsid w:val="004F7079"/>
    <w:rsid w:val="005013FD"/>
    <w:rsid w:val="0051049E"/>
    <w:rsid w:val="005116BC"/>
    <w:rsid w:val="00512325"/>
    <w:rsid w:val="00512D44"/>
    <w:rsid w:val="00516F08"/>
    <w:rsid w:val="00520944"/>
    <w:rsid w:val="00522B5D"/>
    <w:rsid w:val="00523C5E"/>
    <w:rsid w:val="00530B19"/>
    <w:rsid w:val="00530F66"/>
    <w:rsid w:val="00531999"/>
    <w:rsid w:val="00532BE4"/>
    <w:rsid w:val="00532E87"/>
    <w:rsid w:val="005338D0"/>
    <w:rsid w:val="00534BBD"/>
    <w:rsid w:val="00535313"/>
    <w:rsid w:val="00536047"/>
    <w:rsid w:val="00540F36"/>
    <w:rsid w:val="005419D9"/>
    <w:rsid w:val="0054254E"/>
    <w:rsid w:val="005427AE"/>
    <w:rsid w:val="00543544"/>
    <w:rsid w:val="0054749D"/>
    <w:rsid w:val="00551140"/>
    <w:rsid w:val="00551A50"/>
    <w:rsid w:val="00555E0D"/>
    <w:rsid w:val="005602ED"/>
    <w:rsid w:val="005635B9"/>
    <w:rsid w:val="00563AAD"/>
    <w:rsid w:val="00563B0C"/>
    <w:rsid w:val="0056418D"/>
    <w:rsid w:val="00564A27"/>
    <w:rsid w:val="00574EE4"/>
    <w:rsid w:val="005765C3"/>
    <w:rsid w:val="00580D97"/>
    <w:rsid w:val="00586276"/>
    <w:rsid w:val="005879F0"/>
    <w:rsid w:val="00587D37"/>
    <w:rsid w:val="005939B1"/>
    <w:rsid w:val="005A0F8B"/>
    <w:rsid w:val="005A19CA"/>
    <w:rsid w:val="005A31CA"/>
    <w:rsid w:val="005A4F71"/>
    <w:rsid w:val="005B2306"/>
    <w:rsid w:val="005B537D"/>
    <w:rsid w:val="005C0866"/>
    <w:rsid w:val="005C4887"/>
    <w:rsid w:val="005C5CF8"/>
    <w:rsid w:val="005C5FDB"/>
    <w:rsid w:val="005C75C5"/>
    <w:rsid w:val="005D51DF"/>
    <w:rsid w:val="005D7A68"/>
    <w:rsid w:val="005D7C07"/>
    <w:rsid w:val="005E4BA7"/>
    <w:rsid w:val="005E65E6"/>
    <w:rsid w:val="005F0563"/>
    <w:rsid w:val="005F5895"/>
    <w:rsid w:val="005F5CF3"/>
    <w:rsid w:val="00606838"/>
    <w:rsid w:val="006068A0"/>
    <w:rsid w:val="006101DD"/>
    <w:rsid w:val="00613F55"/>
    <w:rsid w:val="00624113"/>
    <w:rsid w:val="00630D9F"/>
    <w:rsid w:val="00642ED8"/>
    <w:rsid w:val="0064454B"/>
    <w:rsid w:val="0064580E"/>
    <w:rsid w:val="00651781"/>
    <w:rsid w:val="00651CF4"/>
    <w:rsid w:val="00653939"/>
    <w:rsid w:val="00653EA7"/>
    <w:rsid w:val="00653F0F"/>
    <w:rsid w:val="0065479C"/>
    <w:rsid w:val="00654A62"/>
    <w:rsid w:val="00655884"/>
    <w:rsid w:val="00655957"/>
    <w:rsid w:val="0066259C"/>
    <w:rsid w:val="0066267F"/>
    <w:rsid w:val="00666AA8"/>
    <w:rsid w:val="0066735F"/>
    <w:rsid w:val="00670EB2"/>
    <w:rsid w:val="00672009"/>
    <w:rsid w:val="00672D7B"/>
    <w:rsid w:val="006738BC"/>
    <w:rsid w:val="006747F6"/>
    <w:rsid w:val="006847A5"/>
    <w:rsid w:val="006852A5"/>
    <w:rsid w:val="00690275"/>
    <w:rsid w:val="00690913"/>
    <w:rsid w:val="00691257"/>
    <w:rsid w:val="00692900"/>
    <w:rsid w:val="00693B5F"/>
    <w:rsid w:val="00694C18"/>
    <w:rsid w:val="0069584B"/>
    <w:rsid w:val="006959D0"/>
    <w:rsid w:val="00695D74"/>
    <w:rsid w:val="006A46EF"/>
    <w:rsid w:val="006A47BF"/>
    <w:rsid w:val="006A725B"/>
    <w:rsid w:val="006B131F"/>
    <w:rsid w:val="006B7882"/>
    <w:rsid w:val="006C008A"/>
    <w:rsid w:val="006C2A2B"/>
    <w:rsid w:val="006C4923"/>
    <w:rsid w:val="006C4E21"/>
    <w:rsid w:val="006C7BA3"/>
    <w:rsid w:val="006D02B0"/>
    <w:rsid w:val="006D1EB8"/>
    <w:rsid w:val="006D47D6"/>
    <w:rsid w:val="006D4F27"/>
    <w:rsid w:val="006D4F92"/>
    <w:rsid w:val="006D5EE9"/>
    <w:rsid w:val="006D7184"/>
    <w:rsid w:val="006E01D5"/>
    <w:rsid w:val="006E0C5C"/>
    <w:rsid w:val="006E768E"/>
    <w:rsid w:val="006F2C11"/>
    <w:rsid w:val="006F5FD5"/>
    <w:rsid w:val="006F70AC"/>
    <w:rsid w:val="006F7B62"/>
    <w:rsid w:val="00702435"/>
    <w:rsid w:val="00704296"/>
    <w:rsid w:val="00706366"/>
    <w:rsid w:val="00713091"/>
    <w:rsid w:val="00717A64"/>
    <w:rsid w:val="00724081"/>
    <w:rsid w:val="00731BB8"/>
    <w:rsid w:val="00731D72"/>
    <w:rsid w:val="0073261E"/>
    <w:rsid w:val="00732C0A"/>
    <w:rsid w:val="007334CA"/>
    <w:rsid w:val="00735D8A"/>
    <w:rsid w:val="00737D67"/>
    <w:rsid w:val="00741C00"/>
    <w:rsid w:val="0074679B"/>
    <w:rsid w:val="00747653"/>
    <w:rsid w:val="007477E0"/>
    <w:rsid w:val="00747950"/>
    <w:rsid w:val="00747AB7"/>
    <w:rsid w:val="00751BCF"/>
    <w:rsid w:val="007523CD"/>
    <w:rsid w:val="00754E7C"/>
    <w:rsid w:val="0075724C"/>
    <w:rsid w:val="00760704"/>
    <w:rsid w:val="00760BBE"/>
    <w:rsid w:val="007644E4"/>
    <w:rsid w:val="0076581B"/>
    <w:rsid w:val="00766526"/>
    <w:rsid w:val="00773A29"/>
    <w:rsid w:val="00775173"/>
    <w:rsid w:val="00775250"/>
    <w:rsid w:val="00780591"/>
    <w:rsid w:val="00781752"/>
    <w:rsid w:val="00782730"/>
    <w:rsid w:val="00784C57"/>
    <w:rsid w:val="00785157"/>
    <w:rsid w:val="00786519"/>
    <w:rsid w:val="00792933"/>
    <w:rsid w:val="007936E1"/>
    <w:rsid w:val="00794B78"/>
    <w:rsid w:val="00796364"/>
    <w:rsid w:val="007969E4"/>
    <w:rsid w:val="007A448B"/>
    <w:rsid w:val="007A4D10"/>
    <w:rsid w:val="007A68A7"/>
    <w:rsid w:val="007A7556"/>
    <w:rsid w:val="007A7EF6"/>
    <w:rsid w:val="007B1EAE"/>
    <w:rsid w:val="007B6258"/>
    <w:rsid w:val="007B756B"/>
    <w:rsid w:val="007C2DE9"/>
    <w:rsid w:val="007C3405"/>
    <w:rsid w:val="007C43E5"/>
    <w:rsid w:val="007C5706"/>
    <w:rsid w:val="007D1301"/>
    <w:rsid w:val="007D24B5"/>
    <w:rsid w:val="007D3537"/>
    <w:rsid w:val="007D69B2"/>
    <w:rsid w:val="007D7564"/>
    <w:rsid w:val="007E26F9"/>
    <w:rsid w:val="007E29B6"/>
    <w:rsid w:val="007E6278"/>
    <w:rsid w:val="007F0C9C"/>
    <w:rsid w:val="007F1123"/>
    <w:rsid w:val="007F3C20"/>
    <w:rsid w:val="007F4A8A"/>
    <w:rsid w:val="007F507B"/>
    <w:rsid w:val="007F706F"/>
    <w:rsid w:val="007F7678"/>
    <w:rsid w:val="007F7E89"/>
    <w:rsid w:val="0080401B"/>
    <w:rsid w:val="0080506A"/>
    <w:rsid w:val="0080656C"/>
    <w:rsid w:val="00807B8D"/>
    <w:rsid w:val="00810155"/>
    <w:rsid w:val="008125AB"/>
    <w:rsid w:val="00812916"/>
    <w:rsid w:val="00813800"/>
    <w:rsid w:val="00813825"/>
    <w:rsid w:val="0081542F"/>
    <w:rsid w:val="00815A8A"/>
    <w:rsid w:val="00822441"/>
    <w:rsid w:val="0082497A"/>
    <w:rsid w:val="008262E9"/>
    <w:rsid w:val="00826396"/>
    <w:rsid w:val="008319AD"/>
    <w:rsid w:val="00833140"/>
    <w:rsid w:val="0083352A"/>
    <w:rsid w:val="00833D3A"/>
    <w:rsid w:val="00835465"/>
    <w:rsid w:val="00835487"/>
    <w:rsid w:val="0083659F"/>
    <w:rsid w:val="00842AB1"/>
    <w:rsid w:val="00844046"/>
    <w:rsid w:val="00844F6E"/>
    <w:rsid w:val="00845ACA"/>
    <w:rsid w:val="00847975"/>
    <w:rsid w:val="00852A11"/>
    <w:rsid w:val="00853899"/>
    <w:rsid w:val="00860278"/>
    <w:rsid w:val="00860B38"/>
    <w:rsid w:val="0088129D"/>
    <w:rsid w:val="00881BA0"/>
    <w:rsid w:val="00881C0F"/>
    <w:rsid w:val="00884E88"/>
    <w:rsid w:val="0088664E"/>
    <w:rsid w:val="00886E6F"/>
    <w:rsid w:val="00890C30"/>
    <w:rsid w:val="00892EAF"/>
    <w:rsid w:val="008975D5"/>
    <w:rsid w:val="00897737"/>
    <w:rsid w:val="00897ED5"/>
    <w:rsid w:val="008A02D3"/>
    <w:rsid w:val="008A05CF"/>
    <w:rsid w:val="008A191E"/>
    <w:rsid w:val="008A4D04"/>
    <w:rsid w:val="008A6AE1"/>
    <w:rsid w:val="008A749F"/>
    <w:rsid w:val="008B2690"/>
    <w:rsid w:val="008C3823"/>
    <w:rsid w:val="008C5A30"/>
    <w:rsid w:val="008C5E83"/>
    <w:rsid w:val="008C7585"/>
    <w:rsid w:val="008D0489"/>
    <w:rsid w:val="008D0B6E"/>
    <w:rsid w:val="008D2AE4"/>
    <w:rsid w:val="008D6D4D"/>
    <w:rsid w:val="008D73E6"/>
    <w:rsid w:val="008E07B8"/>
    <w:rsid w:val="008E1DAA"/>
    <w:rsid w:val="008E2E71"/>
    <w:rsid w:val="008E43EB"/>
    <w:rsid w:val="008F0438"/>
    <w:rsid w:val="008F1CD3"/>
    <w:rsid w:val="008F7C96"/>
    <w:rsid w:val="008F7D6E"/>
    <w:rsid w:val="009002C4"/>
    <w:rsid w:val="00900C6A"/>
    <w:rsid w:val="00900FFC"/>
    <w:rsid w:val="00906BA0"/>
    <w:rsid w:val="00910CA1"/>
    <w:rsid w:val="0091185F"/>
    <w:rsid w:val="00913DE5"/>
    <w:rsid w:val="00913FAC"/>
    <w:rsid w:val="009215FF"/>
    <w:rsid w:val="00922598"/>
    <w:rsid w:val="00926CA7"/>
    <w:rsid w:val="0092798F"/>
    <w:rsid w:val="00927BB7"/>
    <w:rsid w:val="00927F84"/>
    <w:rsid w:val="00930A62"/>
    <w:rsid w:val="00930C0D"/>
    <w:rsid w:val="00931106"/>
    <w:rsid w:val="009321BD"/>
    <w:rsid w:val="0093651E"/>
    <w:rsid w:val="00941232"/>
    <w:rsid w:val="0094517A"/>
    <w:rsid w:val="00946BC6"/>
    <w:rsid w:val="00946E32"/>
    <w:rsid w:val="00947A62"/>
    <w:rsid w:val="00950BCB"/>
    <w:rsid w:val="00952853"/>
    <w:rsid w:val="009538BC"/>
    <w:rsid w:val="0095589F"/>
    <w:rsid w:val="009601D2"/>
    <w:rsid w:val="009602B2"/>
    <w:rsid w:val="0096308F"/>
    <w:rsid w:val="00964048"/>
    <w:rsid w:val="00966196"/>
    <w:rsid w:val="009677F4"/>
    <w:rsid w:val="00970CF2"/>
    <w:rsid w:val="009718A7"/>
    <w:rsid w:val="00972FBB"/>
    <w:rsid w:val="0097355C"/>
    <w:rsid w:val="009745CF"/>
    <w:rsid w:val="00975601"/>
    <w:rsid w:val="00975799"/>
    <w:rsid w:val="00980EBC"/>
    <w:rsid w:val="0098180E"/>
    <w:rsid w:val="0098198C"/>
    <w:rsid w:val="00984A69"/>
    <w:rsid w:val="0098546B"/>
    <w:rsid w:val="00985BBB"/>
    <w:rsid w:val="00987904"/>
    <w:rsid w:val="00993124"/>
    <w:rsid w:val="00994193"/>
    <w:rsid w:val="00994996"/>
    <w:rsid w:val="009960A4"/>
    <w:rsid w:val="0099639B"/>
    <w:rsid w:val="009A1884"/>
    <w:rsid w:val="009A71E5"/>
    <w:rsid w:val="009A7C0E"/>
    <w:rsid w:val="009B2322"/>
    <w:rsid w:val="009B4415"/>
    <w:rsid w:val="009B6507"/>
    <w:rsid w:val="009B6589"/>
    <w:rsid w:val="009C1AEF"/>
    <w:rsid w:val="009C2743"/>
    <w:rsid w:val="009C411B"/>
    <w:rsid w:val="009D068F"/>
    <w:rsid w:val="009D1516"/>
    <w:rsid w:val="009D17DE"/>
    <w:rsid w:val="009D199A"/>
    <w:rsid w:val="009D2A54"/>
    <w:rsid w:val="009D56CF"/>
    <w:rsid w:val="009D6107"/>
    <w:rsid w:val="009D621B"/>
    <w:rsid w:val="009E0688"/>
    <w:rsid w:val="009E1C0D"/>
    <w:rsid w:val="009E7063"/>
    <w:rsid w:val="009E71B5"/>
    <w:rsid w:val="009E74BA"/>
    <w:rsid w:val="009E74F9"/>
    <w:rsid w:val="009F27EC"/>
    <w:rsid w:val="009F3110"/>
    <w:rsid w:val="009F4CE7"/>
    <w:rsid w:val="009F4F59"/>
    <w:rsid w:val="009F622D"/>
    <w:rsid w:val="009F7B22"/>
    <w:rsid w:val="009F7DC8"/>
    <w:rsid w:val="00A00B86"/>
    <w:rsid w:val="00A0352F"/>
    <w:rsid w:val="00A03EE5"/>
    <w:rsid w:val="00A04542"/>
    <w:rsid w:val="00A06BD4"/>
    <w:rsid w:val="00A114E6"/>
    <w:rsid w:val="00A12DF3"/>
    <w:rsid w:val="00A15786"/>
    <w:rsid w:val="00A16F89"/>
    <w:rsid w:val="00A20F2F"/>
    <w:rsid w:val="00A210F4"/>
    <w:rsid w:val="00A24CFB"/>
    <w:rsid w:val="00A31FEF"/>
    <w:rsid w:val="00A320D3"/>
    <w:rsid w:val="00A33B8C"/>
    <w:rsid w:val="00A33F7F"/>
    <w:rsid w:val="00A4080D"/>
    <w:rsid w:val="00A42FF6"/>
    <w:rsid w:val="00A45202"/>
    <w:rsid w:val="00A46F8C"/>
    <w:rsid w:val="00A556EF"/>
    <w:rsid w:val="00A60E2D"/>
    <w:rsid w:val="00A6107D"/>
    <w:rsid w:val="00A61D66"/>
    <w:rsid w:val="00A61F53"/>
    <w:rsid w:val="00A63AD5"/>
    <w:rsid w:val="00A708B1"/>
    <w:rsid w:val="00A71E81"/>
    <w:rsid w:val="00A74C46"/>
    <w:rsid w:val="00A83611"/>
    <w:rsid w:val="00A86EA4"/>
    <w:rsid w:val="00A90FCB"/>
    <w:rsid w:val="00A933FA"/>
    <w:rsid w:val="00A94184"/>
    <w:rsid w:val="00A94A3D"/>
    <w:rsid w:val="00A97FF8"/>
    <w:rsid w:val="00AA5E0E"/>
    <w:rsid w:val="00AB0156"/>
    <w:rsid w:val="00AB20D9"/>
    <w:rsid w:val="00AB2972"/>
    <w:rsid w:val="00AB47A7"/>
    <w:rsid w:val="00AD0203"/>
    <w:rsid w:val="00AD299F"/>
    <w:rsid w:val="00AD45D0"/>
    <w:rsid w:val="00AD5B53"/>
    <w:rsid w:val="00AE06F2"/>
    <w:rsid w:val="00AE6063"/>
    <w:rsid w:val="00AE692C"/>
    <w:rsid w:val="00AF1E68"/>
    <w:rsid w:val="00AF5E85"/>
    <w:rsid w:val="00B04105"/>
    <w:rsid w:val="00B06979"/>
    <w:rsid w:val="00B07156"/>
    <w:rsid w:val="00B10BFE"/>
    <w:rsid w:val="00B1341F"/>
    <w:rsid w:val="00B1537F"/>
    <w:rsid w:val="00B20707"/>
    <w:rsid w:val="00B220B8"/>
    <w:rsid w:val="00B275B9"/>
    <w:rsid w:val="00B33836"/>
    <w:rsid w:val="00B353DE"/>
    <w:rsid w:val="00B3610B"/>
    <w:rsid w:val="00B428AB"/>
    <w:rsid w:val="00B443BC"/>
    <w:rsid w:val="00B44F43"/>
    <w:rsid w:val="00B4579F"/>
    <w:rsid w:val="00B45D19"/>
    <w:rsid w:val="00B5238D"/>
    <w:rsid w:val="00B53B08"/>
    <w:rsid w:val="00B56B5A"/>
    <w:rsid w:val="00B57D0C"/>
    <w:rsid w:val="00B60EFA"/>
    <w:rsid w:val="00B641E3"/>
    <w:rsid w:val="00B645DA"/>
    <w:rsid w:val="00B743F2"/>
    <w:rsid w:val="00B7564B"/>
    <w:rsid w:val="00B75C3B"/>
    <w:rsid w:val="00B8009E"/>
    <w:rsid w:val="00B81AD4"/>
    <w:rsid w:val="00B83931"/>
    <w:rsid w:val="00B84698"/>
    <w:rsid w:val="00B8495B"/>
    <w:rsid w:val="00B87332"/>
    <w:rsid w:val="00B91F9D"/>
    <w:rsid w:val="00B92251"/>
    <w:rsid w:val="00B94788"/>
    <w:rsid w:val="00B95199"/>
    <w:rsid w:val="00B953B2"/>
    <w:rsid w:val="00BA2661"/>
    <w:rsid w:val="00BA28A3"/>
    <w:rsid w:val="00BA4968"/>
    <w:rsid w:val="00BA55D1"/>
    <w:rsid w:val="00BA6350"/>
    <w:rsid w:val="00BA750C"/>
    <w:rsid w:val="00BB1149"/>
    <w:rsid w:val="00BB18A5"/>
    <w:rsid w:val="00BB1A63"/>
    <w:rsid w:val="00BB2C8A"/>
    <w:rsid w:val="00BB311C"/>
    <w:rsid w:val="00BB3621"/>
    <w:rsid w:val="00BB368E"/>
    <w:rsid w:val="00BB6FAA"/>
    <w:rsid w:val="00BC10A2"/>
    <w:rsid w:val="00BC36D6"/>
    <w:rsid w:val="00BC431E"/>
    <w:rsid w:val="00BC4794"/>
    <w:rsid w:val="00BD24FA"/>
    <w:rsid w:val="00BD7089"/>
    <w:rsid w:val="00BE02D4"/>
    <w:rsid w:val="00BE0432"/>
    <w:rsid w:val="00BE0B95"/>
    <w:rsid w:val="00BE1214"/>
    <w:rsid w:val="00BE12AD"/>
    <w:rsid w:val="00BE1376"/>
    <w:rsid w:val="00BE2300"/>
    <w:rsid w:val="00BE2F0E"/>
    <w:rsid w:val="00BF1E31"/>
    <w:rsid w:val="00C001FB"/>
    <w:rsid w:val="00C04A9D"/>
    <w:rsid w:val="00C056B7"/>
    <w:rsid w:val="00C06C93"/>
    <w:rsid w:val="00C14FA7"/>
    <w:rsid w:val="00C168A4"/>
    <w:rsid w:val="00C265CB"/>
    <w:rsid w:val="00C26875"/>
    <w:rsid w:val="00C27827"/>
    <w:rsid w:val="00C30110"/>
    <w:rsid w:val="00C36078"/>
    <w:rsid w:val="00C379E6"/>
    <w:rsid w:val="00C451CF"/>
    <w:rsid w:val="00C544CF"/>
    <w:rsid w:val="00C54A0E"/>
    <w:rsid w:val="00C54D5C"/>
    <w:rsid w:val="00C61F2F"/>
    <w:rsid w:val="00C646BF"/>
    <w:rsid w:val="00C66FF7"/>
    <w:rsid w:val="00C6732E"/>
    <w:rsid w:val="00C67BBF"/>
    <w:rsid w:val="00C7068C"/>
    <w:rsid w:val="00C72427"/>
    <w:rsid w:val="00C74665"/>
    <w:rsid w:val="00C811DC"/>
    <w:rsid w:val="00C81D55"/>
    <w:rsid w:val="00C868B2"/>
    <w:rsid w:val="00C91E71"/>
    <w:rsid w:val="00C925A7"/>
    <w:rsid w:val="00C93DA2"/>
    <w:rsid w:val="00C946EB"/>
    <w:rsid w:val="00C94FB9"/>
    <w:rsid w:val="00CA0BCE"/>
    <w:rsid w:val="00CA2056"/>
    <w:rsid w:val="00CA2308"/>
    <w:rsid w:val="00CA6424"/>
    <w:rsid w:val="00CB056D"/>
    <w:rsid w:val="00CB3C13"/>
    <w:rsid w:val="00CB4B84"/>
    <w:rsid w:val="00CB4CBE"/>
    <w:rsid w:val="00CB5774"/>
    <w:rsid w:val="00CB7179"/>
    <w:rsid w:val="00CC2D49"/>
    <w:rsid w:val="00CC39BE"/>
    <w:rsid w:val="00CC6007"/>
    <w:rsid w:val="00CC6BCA"/>
    <w:rsid w:val="00CC72C2"/>
    <w:rsid w:val="00CD1139"/>
    <w:rsid w:val="00CD3AD9"/>
    <w:rsid w:val="00CD518B"/>
    <w:rsid w:val="00CD5DCD"/>
    <w:rsid w:val="00CD6A75"/>
    <w:rsid w:val="00CE3413"/>
    <w:rsid w:val="00CF401C"/>
    <w:rsid w:val="00CF4339"/>
    <w:rsid w:val="00CF4431"/>
    <w:rsid w:val="00CF44BD"/>
    <w:rsid w:val="00D003C6"/>
    <w:rsid w:val="00D01A08"/>
    <w:rsid w:val="00D03946"/>
    <w:rsid w:val="00D05CC6"/>
    <w:rsid w:val="00D118B5"/>
    <w:rsid w:val="00D14E58"/>
    <w:rsid w:val="00D165AC"/>
    <w:rsid w:val="00D247D5"/>
    <w:rsid w:val="00D30B51"/>
    <w:rsid w:val="00D32E19"/>
    <w:rsid w:val="00D32E52"/>
    <w:rsid w:val="00D3561C"/>
    <w:rsid w:val="00D43B81"/>
    <w:rsid w:val="00D441C4"/>
    <w:rsid w:val="00D466CB"/>
    <w:rsid w:val="00D476B6"/>
    <w:rsid w:val="00D53AF1"/>
    <w:rsid w:val="00D55112"/>
    <w:rsid w:val="00D64738"/>
    <w:rsid w:val="00D6540C"/>
    <w:rsid w:val="00D661AB"/>
    <w:rsid w:val="00D71B46"/>
    <w:rsid w:val="00D76C5D"/>
    <w:rsid w:val="00D90E5A"/>
    <w:rsid w:val="00D916A2"/>
    <w:rsid w:val="00D93DAA"/>
    <w:rsid w:val="00D96915"/>
    <w:rsid w:val="00DA083D"/>
    <w:rsid w:val="00DA18E2"/>
    <w:rsid w:val="00DA4101"/>
    <w:rsid w:val="00DA54C0"/>
    <w:rsid w:val="00DA6C83"/>
    <w:rsid w:val="00DA7FB4"/>
    <w:rsid w:val="00DB49D8"/>
    <w:rsid w:val="00DC2C1C"/>
    <w:rsid w:val="00DC429B"/>
    <w:rsid w:val="00DC4FC4"/>
    <w:rsid w:val="00DC62ED"/>
    <w:rsid w:val="00DC77AB"/>
    <w:rsid w:val="00DC78E0"/>
    <w:rsid w:val="00DC79BB"/>
    <w:rsid w:val="00DD3994"/>
    <w:rsid w:val="00DD5999"/>
    <w:rsid w:val="00DD6E4A"/>
    <w:rsid w:val="00DD7CC5"/>
    <w:rsid w:val="00DE01EF"/>
    <w:rsid w:val="00DE0CB7"/>
    <w:rsid w:val="00DE0CCE"/>
    <w:rsid w:val="00DE4950"/>
    <w:rsid w:val="00DE66EE"/>
    <w:rsid w:val="00DE7BEF"/>
    <w:rsid w:val="00DF079F"/>
    <w:rsid w:val="00DF2979"/>
    <w:rsid w:val="00DF4811"/>
    <w:rsid w:val="00DF4DA7"/>
    <w:rsid w:val="00E01CEE"/>
    <w:rsid w:val="00E07F0B"/>
    <w:rsid w:val="00E10508"/>
    <w:rsid w:val="00E10E3C"/>
    <w:rsid w:val="00E143F5"/>
    <w:rsid w:val="00E21147"/>
    <w:rsid w:val="00E22529"/>
    <w:rsid w:val="00E23372"/>
    <w:rsid w:val="00E23731"/>
    <w:rsid w:val="00E23CA8"/>
    <w:rsid w:val="00E26212"/>
    <w:rsid w:val="00E274AA"/>
    <w:rsid w:val="00E301C8"/>
    <w:rsid w:val="00E310A7"/>
    <w:rsid w:val="00E3288A"/>
    <w:rsid w:val="00E348B8"/>
    <w:rsid w:val="00E348CC"/>
    <w:rsid w:val="00E358BC"/>
    <w:rsid w:val="00E36191"/>
    <w:rsid w:val="00E36319"/>
    <w:rsid w:val="00E36F3F"/>
    <w:rsid w:val="00E37165"/>
    <w:rsid w:val="00E37F7F"/>
    <w:rsid w:val="00E40154"/>
    <w:rsid w:val="00E40BBA"/>
    <w:rsid w:val="00E40E6F"/>
    <w:rsid w:val="00E418D6"/>
    <w:rsid w:val="00E45091"/>
    <w:rsid w:val="00E555D2"/>
    <w:rsid w:val="00E5601A"/>
    <w:rsid w:val="00E61287"/>
    <w:rsid w:val="00E64A51"/>
    <w:rsid w:val="00E64ACB"/>
    <w:rsid w:val="00E6557A"/>
    <w:rsid w:val="00E672EF"/>
    <w:rsid w:val="00E70965"/>
    <w:rsid w:val="00E71649"/>
    <w:rsid w:val="00E729A3"/>
    <w:rsid w:val="00E72EAD"/>
    <w:rsid w:val="00E748D9"/>
    <w:rsid w:val="00E74A95"/>
    <w:rsid w:val="00E8256C"/>
    <w:rsid w:val="00E82CB7"/>
    <w:rsid w:val="00E83328"/>
    <w:rsid w:val="00E84C1C"/>
    <w:rsid w:val="00E85613"/>
    <w:rsid w:val="00E87193"/>
    <w:rsid w:val="00E92AF0"/>
    <w:rsid w:val="00E932BE"/>
    <w:rsid w:val="00E938FA"/>
    <w:rsid w:val="00E93D41"/>
    <w:rsid w:val="00E94B51"/>
    <w:rsid w:val="00E95861"/>
    <w:rsid w:val="00E97F67"/>
    <w:rsid w:val="00EA536A"/>
    <w:rsid w:val="00EB31D9"/>
    <w:rsid w:val="00EB5E81"/>
    <w:rsid w:val="00EB5F4C"/>
    <w:rsid w:val="00EC004B"/>
    <w:rsid w:val="00EC032F"/>
    <w:rsid w:val="00EC226A"/>
    <w:rsid w:val="00EC3A8C"/>
    <w:rsid w:val="00EC6DFB"/>
    <w:rsid w:val="00EC7F7F"/>
    <w:rsid w:val="00ED0D4C"/>
    <w:rsid w:val="00ED0F37"/>
    <w:rsid w:val="00ED3F12"/>
    <w:rsid w:val="00ED73E3"/>
    <w:rsid w:val="00ED77BB"/>
    <w:rsid w:val="00EE1C3B"/>
    <w:rsid w:val="00EE414C"/>
    <w:rsid w:val="00EE61AE"/>
    <w:rsid w:val="00EE68AC"/>
    <w:rsid w:val="00EE69FA"/>
    <w:rsid w:val="00EE7A75"/>
    <w:rsid w:val="00EE7E33"/>
    <w:rsid w:val="00EF2140"/>
    <w:rsid w:val="00EF2C7A"/>
    <w:rsid w:val="00EF5050"/>
    <w:rsid w:val="00F02A02"/>
    <w:rsid w:val="00F03AA4"/>
    <w:rsid w:val="00F03AEF"/>
    <w:rsid w:val="00F04B65"/>
    <w:rsid w:val="00F06990"/>
    <w:rsid w:val="00F11309"/>
    <w:rsid w:val="00F11803"/>
    <w:rsid w:val="00F13982"/>
    <w:rsid w:val="00F13FCF"/>
    <w:rsid w:val="00F1573F"/>
    <w:rsid w:val="00F17183"/>
    <w:rsid w:val="00F2073F"/>
    <w:rsid w:val="00F20D0F"/>
    <w:rsid w:val="00F211E6"/>
    <w:rsid w:val="00F238B0"/>
    <w:rsid w:val="00F241F9"/>
    <w:rsid w:val="00F25459"/>
    <w:rsid w:val="00F25F2F"/>
    <w:rsid w:val="00F303E3"/>
    <w:rsid w:val="00F34C15"/>
    <w:rsid w:val="00F35AAE"/>
    <w:rsid w:val="00F35F3C"/>
    <w:rsid w:val="00F36E24"/>
    <w:rsid w:val="00F36FF8"/>
    <w:rsid w:val="00F436AF"/>
    <w:rsid w:val="00F44909"/>
    <w:rsid w:val="00F44977"/>
    <w:rsid w:val="00F46CEA"/>
    <w:rsid w:val="00F54CED"/>
    <w:rsid w:val="00F550A6"/>
    <w:rsid w:val="00F56E9B"/>
    <w:rsid w:val="00F56FED"/>
    <w:rsid w:val="00F57030"/>
    <w:rsid w:val="00F61AC6"/>
    <w:rsid w:val="00F6218E"/>
    <w:rsid w:val="00F6302E"/>
    <w:rsid w:val="00F643CF"/>
    <w:rsid w:val="00F706A0"/>
    <w:rsid w:val="00F70E99"/>
    <w:rsid w:val="00F7431B"/>
    <w:rsid w:val="00F74B84"/>
    <w:rsid w:val="00F81D24"/>
    <w:rsid w:val="00F82A5A"/>
    <w:rsid w:val="00F83265"/>
    <w:rsid w:val="00F84A64"/>
    <w:rsid w:val="00F87B1C"/>
    <w:rsid w:val="00F908FC"/>
    <w:rsid w:val="00F90D88"/>
    <w:rsid w:val="00F92425"/>
    <w:rsid w:val="00F92982"/>
    <w:rsid w:val="00F9321D"/>
    <w:rsid w:val="00F960C4"/>
    <w:rsid w:val="00F97173"/>
    <w:rsid w:val="00FA2048"/>
    <w:rsid w:val="00FA3782"/>
    <w:rsid w:val="00FA7C44"/>
    <w:rsid w:val="00FB04FB"/>
    <w:rsid w:val="00FB1C08"/>
    <w:rsid w:val="00FB24FD"/>
    <w:rsid w:val="00FB3C0E"/>
    <w:rsid w:val="00FB4620"/>
    <w:rsid w:val="00FB4C82"/>
    <w:rsid w:val="00FB7192"/>
    <w:rsid w:val="00FC0C93"/>
    <w:rsid w:val="00FC1002"/>
    <w:rsid w:val="00FC10FF"/>
    <w:rsid w:val="00FC22A8"/>
    <w:rsid w:val="00FC241C"/>
    <w:rsid w:val="00FC50B1"/>
    <w:rsid w:val="00FC6620"/>
    <w:rsid w:val="00FD38C0"/>
    <w:rsid w:val="00FD3BDB"/>
    <w:rsid w:val="00FD6CA2"/>
    <w:rsid w:val="00FE25DD"/>
    <w:rsid w:val="00FE3F50"/>
    <w:rsid w:val="00FE4CA7"/>
    <w:rsid w:val="00FE5169"/>
    <w:rsid w:val="00FE638D"/>
    <w:rsid w:val="00FE658F"/>
    <w:rsid w:val="00FF19B1"/>
    <w:rsid w:val="00FF2B74"/>
    <w:rsid w:val="00FF55E7"/>
    <w:rsid w:val="00FF5766"/>
    <w:rsid w:val="00FF6D0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cecff"/>
    </o:shapedefaults>
    <o:shapelayout v:ext="edit">
      <o:idmap v:ext="edit" data="2"/>
    </o:shapelayout>
  </w:shapeDefaults>
  <w:decimalSymbol w:val="."/>
  <w:listSeparator w:val=","/>
  <w14:docId w14:val="7B881AA3"/>
  <w15:docId w15:val="{37CD383A-2248-4B85-94AA-E3B96F233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Cs w:val="22"/>
        <w:lang w:val="es-ES" w:eastAsia="en-US" w:bidi="ar-SA"/>
      </w:rPr>
    </w:rPrDefault>
    <w:pPrDefault>
      <w:pPr>
        <w:spacing w:line="360" w:lineRule="auto"/>
        <w:ind w:left="1276" w:hanging="482"/>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51E"/>
    <w:pPr>
      <w:spacing w:after="200" w:line="276" w:lineRule="auto"/>
      <w:ind w:left="0" w:firstLine="0"/>
      <w:jc w:val="left"/>
    </w:pPr>
  </w:style>
  <w:style w:type="paragraph" w:styleId="Ttulo1">
    <w:name w:val="heading 1"/>
    <w:basedOn w:val="Normal"/>
    <w:next w:val="Normal"/>
    <w:link w:val="Ttulo1Car"/>
    <w:uiPriority w:val="9"/>
    <w:qFormat/>
    <w:rsid w:val="00666AA8"/>
    <w:pPr>
      <w:keepNext/>
      <w:keepLines/>
      <w:spacing w:before="480" w:after="0"/>
      <w:outlineLvl w:val="0"/>
    </w:pPr>
    <w:rPr>
      <w:rFonts w:asciiTheme="majorHAnsi" w:eastAsiaTheme="majorEastAsia" w:hAnsiTheme="majorHAnsi" w:cstheme="majorBidi"/>
      <w:b/>
      <w:bCs/>
      <w:color w:val="3476B1" w:themeColor="accent1" w:themeShade="BF"/>
      <w:sz w:val="28"/>
      <w:szCs w:val="28"/>
    </w:rPr>
  </w:style>
  <w:style w:type="paragraph" w:styleId="Ttulo2">
    <w:name w:val="heading 2"/>
    <w:basedOn w:val="Normal"/>
    <w:next w:val="Normal"/>
    <w:link w:val="Ttulo2Car"/>
    <w:uiPriority w:val="9"/>
    <w:qFormat/>
    <w:rsid w:val="00295BAB"/>
    <w:pPr>
      <w:keepNext/>
      <w:spacing w:after="0" w:line="240" w:lineRule="auto"/>
      <w:outlineLvl w:val="1"/>
    </w:pPr>
    <w:rPr>
      <w:rFonts w:eastAsia="Times New Roman"/>
      <w:b/>
      <w:sz w:val="18"/>
      <w:szCs w:val="20"/>
      <w:lang w:val="es-ES_tradnl" w:eastAsia="es-ES"/>
    </w:rPr>
  </w:style>
  <w:style w:type="paragraph" w:styleId="Ttulo3">
    <w:name w:val="heading 3"/>
    <w:basedOn w:val="Normal"/>
    <w:next w:val="Normal"/>
    <w:link w:val="Ttulo3Car"/>
    <w:uiPriority w:val="9"/>
    <w:unhideWhenUsed/>
    <w:qFormat/>
    <w:rsid w:val="00182D2B"/>
    <w:pPr>
      <w:keepNext/>
      <w:keepLines/>
      <w:spacing w:before="200" w:after="0"/>
      <w:outlineLvl w:val="2"/>
    </w:pPr>
    <w:rPr>
      <w:rFonts w:asciiTheme="majorHAnsi" w:eastAsiaTheme="majorEastAsia" w:hAnsiTheme="majorHAnsi" w:cstheme="majorBidi"/>
      <w:b/>
      <w:bCs/>
      <w:color w:val="629DD1" w:themeColor="accent1"/>
    </w:rPr>
  </w:style>
  <w:style w:type="paragraph" w:styleId="Ttulo4">
    <w:name w:val="heading 4"/>
    <w:basedOn w:val="Normal"/>
    <w:next w:val="Normal"/>
    <w:link w:val="Ttulo4Car"/>
    <w:uiPriority w:val="9"/>
    <w:unhideWhenUsed/>
    <w:qFormat/>
    <w:rsid w:val="00C06C93"/>
    <w:pPr>
      <w:keepNext/>
      <w:keepLines/>
      <w:spacing w:before="200" w:after="0"/>
      <w:outlineLvl w:val="3"/>
    </w:pPr>
    <w:rPr>
      <w:rFonts w:asciiTheme="majorHAnsi" w:eastAsiaTheme="majorEastAsia" w:hAnsiTheme="majorHAnsi" w:cstheme="majorBidi"/>
      <w:b/>
      <w:bCs/>
      <w:i/>
      <w:iCs/>
      <w:color w:val="629DD1" w:themeColor="accent1"/>
    </w:rPr>
  </w:style>
  <w:style w:type="paragraph" w:styleId="Ttulo5">
    <w:name w:val="heading 5"/>
    <w:basedOn w:val="Normal"/>
    <w:next w:val="Normal"/>
    <w:link w:val="Ttulo5Car"/>
    <w:uiPriority w:val="9"/>
    <w:semiHidden/>
    <w:unhideWhenUsed/>
    <w:qFormat/>
    <w:rsid w:val="00796364"/>
    <w:pPr>
      <w:keepNext/>
      <w:keepLines/>
      <w:spacing w:before="200" w:after="0"/>
      <w:outlineLvl w:val="4"/>
    </w:pPr>
    <w:rPr>
      <w:rFonts w:asciiTheme="majorHAnsi" w:eastAsiaTheme="majorEastAsia" w:hAnsiTheme="majorHAnsi" w:cstheme="majorBidi"/>
      <w:color w:val="224E76" w:themeColor="accent1" w:themeShade="7F"/>
    </w:rPr>
  </w:style>
  <w:style w:type="paragraph" w:styleId="Ttulo6">
    <w:name w:val="heading 6"/>
    <w:basedOn w:val="Normal"/>
    <w:next w:val="Normal"/>
    <w:link w:val="Ttulo6Car"/>
    <w:uiPriority w:val="9"/>
    <w:semiHidden/>
    <w:unhideWhenUsed/>
    <w:qFormat/>
    <w:rsid w:val="00796364"/>
    <w:pPr>
      <w:keepNext/>
      <w:keepLines/>
      <w:spacing w:before="200" w:after="0"/>
      <w:outlineLvl w:val="5"/>
    </w:pPr>
    <w:rPr>
      <w:rFonts w:asciiTheme="majorHAnsi" w:eastAsiaTheme="majorEastAsia" w:hAnsiTheme="majorHAnsi" w:cstheme="majorBidi"/>
      <w:i/>
      <w:iCs/>
      <w:color w:val="224E76" w:themeColor="accent1" w:themeShade="7F"/>
    </w:rPr>
  </w:style>
  <w:style w:type="paragraph" w:styleId="Ttulo7">
    <w:name w:val="heading 7"/>
    <w:basedOn w:val="Normal"/>
    <w:next w:val="Normal"/>
    <w:link w:val="Ttulo7Car"/>
    <w:uiPriority w:val="9"/>
    <w:semiHidden/>
    <w:unhideWhenUsed/>
    <w:qFormat/>
    <w:rsid w:val="0079636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796364"/>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796364"/>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295BAB"/>
    <w:rPr>
      <w:rFonts w:ascii="Times New Roman" w:eastAsia="Times New Roman" w:hAnsi="Times New Roman" w:cs="Times New Roman"/>
      <w:b/>
      <w:sz w:val="18"/>
      <w:szCs w:val="20"/>
      <w:lang w:val="es-ES_tradnl" w:eastAsia="es-ES"/>
    </w:rPr>
  </w:style>
  <w:style w:type="paragraph" w:styleId="Piedepgina">
    <w:name w:val="footer"/>
    <w:basedOn w:val="Normal"/>
    <w:link w:val="PiedepginaCar"/>
    <w:uiPriority w:val="99"/>
    <w:rsid w:val="00295BAB"/>
    <w:pPr>
      <w:tabs>
        <w:tab w:val="center" w:pos="4252"/>
        <w:tab w:val="right" w:pos="8504"/>
      </w:tabs>
      <w:spacing w:after="0" w:line="240" w:lineRule="auto"/>
    </w:pPr>
    <w:rPr>
      <w:rFonts w:ascii="Calibri" w:eastAsia="Calibri" w:hAnsi="Calibri"/>
      <w:szCs w:val="20"/>
    </w:rPr>
  </w:style>
  <w:style w:type="character" w:customStyle="1" w:styleId="PiedepginaCar">
    <w:name w:val="Pie de página Car"/>
    <w:basedOn w:val="Fuentedeprrafopredeter"/>
    <w:link w:val="Piedepgina"/>
    <w:uiPriority w:val="99"/>
    <w:rsid w:val="00295BAB"/>
    <w:rPr>
      <w:rFonts w:ascii="Calibri" w:eastAsia="Calibri" w:hAnsi="Calibri" w:cs="Times New Roman"/>
      <w:sz w:val="20"/>
      <w:szCs w:val="20"/>
      <w:lang w:val="es-PY"/>
    </w:rPr>
  </w:style>
  <w:style w:type="paragraph" w:styleId="Textonotapie">
    <w:name w:val="footnote text"/>
    <w:aliases w:val="Notas Car Car,Notas Car Car Car"/>
    <w:basedOn w:val="Normal"/>
    <w:link w:val="TextonotapieCar"/>
    <w:rsid w:val="00295BAB"/>
    <w:pPr>
      <w:spacing w:after="0" w:line="240" w:lineRule="auto"/>
    </w:pPr>
    <w:rPr>
      <w:rFonts w:ascii="Calibri" w:eastAsia="Calibri" w:hAnsi="Calibri"/>
      <w:szCs w:val="20"/>
    </w:rPr>
  </w:style>
  <w:style w:type="character" w:customStyle="1" w:styleId="TextonotapieCar">
    <w:name w:val="Texto nota pie Car"/>
    <w:aliases w:val="Notas Car Car Car1,Notas Car Car Car Car"/>
    <w:basedOn w:val="Fuentedeprrafopredeter"/>
    <w:link w:val="Textonotapie"/>
    <w:rsid w:val="00295BAB"/>
    <w:rPr>
      <w:rFonts w:ascii="Calibri" w:eastAsia="Calibri" w:hAnsi="Calibri" w:cs="Times New Roman"/>
      <w:sz w:val="20"/>
      <w:szCs w:val="20"/>
      <w:lang w:val="es-PY"/>
    </w:rPr>
  </w:style>
  <w:style w:type="character" w:styleId="Refdenotaalpie">
    <w:name w:val="footnote reference"/>
    <w:rsid w:val="00295BAB"/>
    <w:rPr>
      <w:rFonts w:cs="Times New Roman"/>
      <w:vertAlign w:val="superscript"/>
    </w:rPr>
  </w:style>
  <w:style w:type="paragraph" w:styleId="Prrafodelista">
    <w:name w:val="List Paragraph"/>
    <w:aliases w:val="titulo 5,Lista de nivel 1"/>
    <w:basedOn w:val="Normal"/>
    <w:link w:val="PrrafodelistaCar"/>
    <w:uiPriority w:val="34"/>
    <w:qFormat/>
    <w:rsid w:val="00295BAB"/>
    <w:pPr>
      <w:ind w:left="708"/>
    </w:pPr>
    <w:rPr>
      <w:rFonts w:ascii="Calibri" w:eastAsia="Times New Roman" w:hAnsi="Calibri"/>
    </w:rPr>
  </w:style>
  <w:style w:type="paragraph" w:styleId="Textoindependiente">
    <w:name w:val="Body Text"/>
    <w:basedOn w:val="Normal"/>
    <w:link w:val="TextoindependienteCar"/>
    <w:uiPriority w:val="99"/>
    <w:unhideWhenUsed/>
    <w:rsid w:val="00295BAB"/>
    <w:pPr>
      <w:spacing w:after="120"/>
    </w:pPr>
    <w:rPr>
      <w:rFonts w:ascii="Calibri" w:eastAsia="Times New Roman" w:hAnsi="Calibri"/>
    </w:rPr>
  </w:style>
  <w:style w:type="character" w:customStyle="1" w:styleId="TextoindependienteCar">
    <w:name w:val="Texto independiente Car"/>
    <w:basedOn w:val="Fuentedeprrafopredeter"/>
    <w:link w:val="Textoindependiente"/>
    <w:uiPriority w:val="99"/>
    <w:rsid w:val="00295BAB"/>
    <w:rPr>
      <w:rFonts w:ascii="Calibri" w:eastAsia="Times New Roman" w:hAnsi="Calibri" w:cs="Times New Roman"/>
    </w:rPr>
  </w:style>
  <w:style w:type="paragraph" w:styleId="Textonotaalfinal">
    <w:name w:val="endnote text"/>
    <w:basedOn w:val="Normal"/>
    <w:link w:val="TextonotaalfinalCar"/>
    <w:uiPriority w:val="99"/>
    <w:rsid w:val="00295BAB"/>
    <w:pPr>
      <w:spacing w:after="0" w:line="240" w:lineRule="auto"/>
    </w:pPr>
    <w:rPr>
      <w:rFonts w:eastAsia="Times New Roman"/>
      <w:szCs w:val="20"/>
      <w:lang w:eastAsia="es-ES"/>
    </w:rPr>
  </w:style>
  <w:style w:type="character" w:customStyle="1" w:styleId="TextonotaalfinalCar">
    <w:name w:val="Texto nota al final Car"/>
    <w:basedOn w:val="Fuentedeprrafopredeter"/>
    <w:link w:val="Textonotaalfinal"/>
    <w:uiPriority w:val="99"/>
    <w:rsid w:val="00295BAB"/>
    <w:rPr>
      <w:rFonts w:ascii="Times New Roman" w:eastAsia="Times New Roman" w:hAnsi="Times New Roman" w:cs="Times New Roman"/>
      <w:sz w:val="20"/>
      <w:szCs w:val="20"/>
      <w:lang w:eastAsia="es-ES"/>
    </w:rPr>
  </w:style>
  <w:style w:type="paragraph" w:customStyle="1" w:styleId="2">
    <w:name w:val="2"/>
    <w:basedOn w:val="Normal"/>
    <w:uiPriority w:val="99"/>
    <w:rsid w:val="00295BAB"/>
    <w:pPr>
      <w:spacing w:after="0" w:line="240" w:lineRule="auto"/>
    </w:pPr>
    <w:rPr>
      <w:rFonts w:ascii="Arial Narrow" w:eastAsia="Times New Roman" w:hAnsi="Arial Narrow"/>
      <w:b/>
      <w:sz w:val="36"/>
      <w:szCs w:val="24"/>
      <w:lang w:eastAsia="es-ES"/>
    </w:rPr>
  </w:style>
  <w:style w:type="paragraph" w:customStyle="1" w:styleId="normalchica">
    <w:name w:val="normalchica"/>
    <w:basedOn w:val="Normal"/>
    <w:uiPriority w:val="99"/>
    <w:rsid w:val="00295BAB"/>
    <w:pPr>
      <w:spacing w:before="100" w:beforeAutospacing="1" w:after="100" w:afterAutospacing="1" w:line="240" w:lineRule="auto"/>
    </w:pPr>
    <w:rPr>
      <w:rFonts w:ascii="Verdana" w:eastAsia="Times New Roman" w:hAnsi="Verdana"/>
      <w:sz w:val="12"/>
      <w:szCs w:val="12"/>
      <w:lang w:eastAsia="es-ES"/>
    </w:rPr>
  </w:style>
  <w:style w:type="paragraph" w:styleId="Encabezado">
    <w:name w:val="header"/>
    <w:basedOn w:val="Normal"/>
    <w:link w:val="EncabezadoCar"/>
    <w:uiPriority w:val="99"/>
    <w:unhideWhenUsed/>
    <w:rsid w:val="00035C3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35C3E"/>
    <w:rPr>
      <w:lang w:val="es-PY"/>
    </w:rPr>
  </w:style>
  <w:style w:type="paragraph" w:styleId="Sinespaciado">
    <w:name w:val="No Spacing"/>
    <w:link w:val="SinespaciadoCar"/>
    <w:uiPriority w:val="1"/>
    <w:qFormat/>
    <w:rsid w:val="008A4D04"/>
    <w:pPr>
      <w:spacing w:line="240" w:lineRule="auto"/>
      <w:ind w:left="0" w:firstLine="0"/>
      <w:jc w:val="left"/>
    </w:pPr>
    <w:rPr>
      <w:rFonts w:eastAsiaTheme="minorEastAsia"/>
      <w:lang w:val="es-PY" w:eastAsia="es-PY"/>
    </w:rPr>
  </w:style>
  <w:style w:type="character" w:customStyle="1" w:styleId="SinespaciadoCar">
    <w:name w:val="Sin espaciado Car"/>
    <w:basedOn w:val="Fuentedeprrafopredeter"/>
    <w:link w:val="Sinespaciado"/>
    <w:uiPriority w:val="1"/>
    <w:rsid w:val="008A4D04"/>
    <w:rPr>
      <w:rFonts w:eastAsiaTheme="minorEastAsia"/>
      <w:lang w:val="es-PY" w:eastAsia="es-PY"/>
    </w:rPr>
  </w:style>
  <w:style w:type="paragraph" w:styleId="Textodeglobo">
    <w:name w:val="Balloon Text"/>
    <w:basedOn w:val="Normal"/>
    <w:link w:val="TextodegloboCar"/>
    <w:uiPriority w:val="99"/>
    <w:semiHidden/>
    <w:unhideWhenUsed/>
    <w:rsid w:val="008A4D0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A4D04"/>
    <w:rPr>
      <w:rFonts w:ascii="Tahoma" w:hAnsi="Tahoma" w:cs="Tahoma"/>
      <w:sz w:val="16"/>
      <w:szCs w:val="16"/>
      <w:lang w:val="es-PY"/>
    </w:rPr>
  </w:style>
  <w:style w:type="character" w:styleId="Refdecomentario">
    <w:name w:val="annotation reference"/>
    <w:basedOn w:val="Fuentedeprrafopredeter"/>
    <w:uiPriority w:val="99"/>
    <w:semiHidden/>
    <w:unhideWhenUsed/>
    <w:rsid w:val="00F36E24"/>
    <w:rPr>
      <w:sz w:val="16"/>
      <w:szCs w:val="16"/>
    </w:rPr>
  </w:style>
  <w:style w:type="paragraph" w:styleId="Textocomentario">
    <w:name w:val="annotation text"/>
    <w:basedOn w:val="Normal"/>
    <w:link w:val="TextocomentarioCar"/>
    <w:uiPriority w:val="99"/>
    <w:semiHidden/>
    <w:unhideWhenUsed/>
    <w:rsid w:val="00F36E24"/>
    <w:pPr>
      <w:spacing w:line="240" w:lineRule="auto"/>
    </w:pPr>
    <w:rPr>
      <w:szCs w:val="20"/>
    </w:rPr>
  </w:style>
  <w:style w:type="character" w:customStyle="1" w:styleId="TextocomentarioCar">
    <w:name w:val="Texto comentario Car"/>
    <w:basedOn w:val="Fuentedeprrafopredeter"/>
    <w:link w:val="Textocomentario"/>
    <w:uiPriority w:val="99"/>
    <w:semiHidden/>
    <w:rsid w:val="00F36E24"/>
    <w:rPr>
      <w:sz w:val="20"/>
      <w:szCs w:val="20"/>
      <w:lang w:val="es-PY"/>
    </w:rPr>
  </w:style>
  <w:style w:type="paragraph" w:styleId="Asuntodelcomentario">
    <w:name w:val="annotation subject"/>
    <w:basedOn w:val="Textocomentario"/>
    <w:next w:val="Textocomentario"/>
    <w:link w:val="AsuntodelcomentarioCar"/>
    <w:uiPriority w:val="99"/>
    <w:semiHidden/>
    <w:unhideWhenUsed/>
    <w:rsid w:val="00F36E24"/>
    <w:rPr>
      <w:b/>
      <w:bCs/>
    </w:rPr>
  </w:style>
  <w:style w:type="character" w:customStyle="1" w:styleId="AsuntodelcomentarioCar">
    <w:name w:val="Asunto del comentario Car"/>
    <w:basedOn w:val="TextocomentarioCar"/>
    <w:link w:val="Asuntodelcomentario"/>
    <w:uiPriority w:val="99"/>
    <w:semiHidden/>
    <w:rsid w:val="00F36E24"/>
    <w:rPr>
      <w:b/>
      <w:bCs/>
      <w:sz w:val="20"/>
      <w:szCs w:val="20"/>
      <w:lang w:val="es-PY"/>
    </w:rPr>
  </w:style>
  <w:style w:type="paragraph" w:customStyle="1" w:styleId="Default">
    <w:name w:val="Default"/>
    <w:rsid w:val="007A4D10"/>
    <w:pPr>
      <w:autoSpaceDE w:val="0"/>
      <w:autoSpaceDN w:val="0"/>
      <w:adjustRightInd w:val="0"/>
      <w:spacing w:line="240" w:lineRule="auto"/>
      <w:ind w:left="0" w:firstLine="0"/>
      <w:jc w:val="left"/>
    </w:pPr>
    <w:rPr>
      <w:rFonts w:ascii="Calibri" w:hAnsi="Calibri" w:cs="Calibri"/>
      <w:color w:val="000000"/>
      <w:sz w:val="24"/>
      <w:szCs w:val="24"/>
      <w:lang w:val="es-PY"/>
    </w:rPr>
  </w:style>
  <w:style w:type="table" w:styleId="Tablaconcuadrcula">
    <w:name w:val="Table Grid"/>
    <w:basedOn w:val="Tablanormal"/>
    <w:uiPriority w:val="39"/>
    <w:rsid w:val="0065595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182D2B"/>
    <w:rPr>
      <w:rFonts w:asciiTheme="majorHAnsi" w:eastAsiaTheme="majorEastAsia" w:hAnsiTheme="majorHAnsi" w:cstheme="majorBidi"/>
      <w:b/>
      <w:bCs/>
      <w:color w:val="629DD1" w:themeColor="accent1"/>
    </w:rPr>
  </w:style>
  <w:style w:type="table" w:styleId="Sombreadoclaro-nfasis1">
    <w:name w:val="Light Shading Accent 1"/>
    <w:basedOn w:val="Tablanormal"/>
    <w:uiPriority w:val="60"/>
    <w:rsid w:val="00F74B84"/>
    <w:pPr>
      <w:spacing w:line="240" w:lineRule="auto"/>
    </w:pPr>
    <w:rPr>
      <w:color w:val="3476B1" w:themeColor="accent1" w:themeShade="BF"/>
    </w:rPr>
    <w:tblPr>
      <w:tblStyleRowBandSize w:val="1"/>
      <w:tblStyleColBandSize w:val="1"/>
      <w:tblBorders>
        <w:top w:val="single" w:sz="8" w:space="0" w:color="629DD1" w:themeColor="accent1"/>
        <w:bottom w:val="single" w:sz="8" w:space="0" w:color="629DD1" w:themeColor="accent1"/>
      </w:tblBorders>
    </w:tblPr>
    <w:tblStylePr w:type="firstRow">
      <w:pPr>
        <w:spacing w:before="0" w:after="0" w:line="240" w:lineRule="auto"/>
      </w:pPr>
      <w:rPr>
        <w:b/>
        <w:bCs/>
      </w:rPr>
      <w:tblPr/>
      <w:tcPr>
        <w:tcBorders>
          <w:top w:val="single" w:sz="8" w:space="0" w:color="629DD1" w:themeColor="accent1"/>
          <w:left w:val="nil"/>
          <w:bottom w:val="single" w:sz="8" w:space="0" w:color="629DD1" w:themeColor="accent1"/>
          <w:right w:val="nil"/>
          <w:insideH w:val="nil"/>
          <w:insideV w:val="nil"/>
        </w:tcBorders>
      </w:tcPr>
    </w:tblStylePr>
    <w:tblStylePr w:type="lastRow">
      <w:pPr>
        <w:spacing w:before="0" w:after="0" w:line="240" w:lineRule="auto"/>
      </w:pPr>
      <w:rPr>
        <w:b/>
        <w:bCs/>
      </w:rPr>
      <w:tblPr/>
      <w:tcPr>
        <w:tcBorders>
          <w:top w:val="single" w:sz="8" w:space="0" w:color="629DD1" w:themeColor="accent1"/>
          <w:left w:val="nil"/>
          <w:bottom w:val="single" w:sz="8" w:space="0" w:color="629DD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6F3" w:themeFill="accent1" w:themeFillTint="3F"/>
      </w:tcPr>
    </w:tblStylePr>
    <w:tblStylePr w:type="band1Horz">
      <w:tblPr/>
      <w:tcPr>
        <w:tcBorders>
          <w:left w:val="nil"/>
          <w:right w:val="nil"/>
          <w:insideH w:val="nil"/>
          <w:insideV w:val="nil"/>
        </w:tcBorders>
        <w:shd w:val="clear" w:color="auto" w:fill="D8E6F3" w:themeFill="accent1" w:themeFillTint="3F"/>
      </w:tcPr>
    </w:tblStylePr>
  </w:style>
  <w:style w:type="table" w:styleId="Listaclara-nfasis1">
    <w:name w:val="Light List Accent 1"/>
    <w:basedOn w:val="Tablanormal"/>
    <w:uiPriority w:val="61"/>
    <w:rsid w:val="00F74B84"/>
    <w:pPr>
      <w:spacing w:line="240" w:lineRule="auto"/>
    </w:pPr>
    <w:tblPr>
      <w:tblStyleRowBandSize w:val="1"/>
      <w:tblStyleColBandSize w:val="1"/>
      <w:tblBorders>
        <w:top w:val="single" w:sz="8" w:space="0" w:color="629DD1" w:themeColor="accent1"/>
        <w:left w:val="single" w:sz="8" w:space="0" w:color="629DD1" w:themeColor="accent1"/>
        <w:bottom w:val="single" w:sz="8" w:space="0" w:color="629DD1" w:themeColor="accent1"/>
        <w:right w:val="single" w:sz="8" w:space="0" w:color="629DD1" w:themeColor="accent1"/>
      </w:tblBorders>
    </w:tblPr>
    <w:tblStylePr w:type="firstRow">
      <w:pPr>
        <w:spacing w:before="0" w:after="0" w:line="240" w:lineRule="auto"/>
      </w:pPr>
      <w:rPr>
        <w:b/>
        <w:bCs/>
        <w:color w:val="FFFFFF" w:themeColor="background1"/>
      </w:rPr>
      <w:tblPr/>
      <w:tcPr>
        <w:shd w:val="clear" w:color="auto" w:fill="629DD1" w:themeFill="accent1"/>
      </w:tcPr>
    </w:tblStylePr>
    <w:tblStylePr w:type="lastRow">
      <w:pPr>
        <w:spacing w:before="0" w:after="0" w:line="240" w:lineRule="auto"/>
      </w:pPr>
      <w:rPr>
        <w:b/>
        <w:bCs/>
      </w:rPr>
      <w:tblPr/>
      <w:tcPr>
        <w:tcBorders>
          <w:top w:val="double" w:sz="6" w:space="0" w:color="629DD1" w:themeColor="accent1"/>
          <w:left w:val="single" w:sz="8" w:space="0" w:color="629DD1" w:themeColor="accent1"/>
          <w:bottom w:val="single" w:sz="8" w:space="0" w:color="629DD1" w:themeColor="accent1"/>
          <w:right w:val="single" w:sz="8" w:space="0" w:color="629DD1" w:themeColor="accent1"/>
        </w:tcBorders>
      </w:tcPr>
    </w:tblStylePr>
    <w:tblStylePr w:type="firstCol">
      <w:rPr>
        <w:b/>
        <w:bCs/>
      </w:rPr>
    </w:tblStylePr>
    <w:tblStylePr w:type="lastCol">
      <w:rPr>
        <w:b/>
        <w:bCs/>
      </w:rPr>
    </w:tblStylePr>
    <w:tblStylePr w:type="band1Vert">
      <w:tblPr/>
      <w:tcPr>
        <w:tcBorders>
          <w:top w:val="single" w:sz="8" w:space="0" w:color="629DD1" w:themeColor="accent1"/>
          <w:left w:val="single" w:sz="8" w:space="0" w:color="629DD1" w:themeColor="accent1"/>
          <w:bottom w:val="single" w:sz="8" w:space="0" w:color="629DD1" w:themeColor="accent1"/>
          <w:right w:val="single" w:sz="8" w:space="0" w:color="629DD1" w:themeColor="accent1"/>
        </w:tcBorders>
      </w:tcPr>
    </w:tblStylePr>
    <w:tblStylePr w:type="band1Horz">
      <w:tblPr/>
      <w:tcPr>
        <w:tcBorders>
          <w:top w:val="single" w:sz="8" w:space="0" w:color="629DD1" w:themeColor="accent1"/>
          <w:left w:val="single" w:sz="8" w:space="0" w:color="629DD1" w:themeColor="accent1"/>
          <w:bottom w:val="single" w:sz="8" w:space="0" w:color="629DD1" w:themeColor="accent1"/>
          <w:right w:val="single" w:sz="8" w:space="0" w:color="629DD1" w:themeColor="accent1"/>
        </w:tcBorders>
      </w:tcPr>
    </w:tblStylePr>
  </w:style>
  <w:style w:type="table" w:styleId="Listaclara-nfasis5">
    <w:name w:val="Light List Accent 5"/>
    <w:basedOn w:val="Tablanormal"/>
    <w:uiPriority w:val="61"/>
    <w:rsid w:val="00F74B84"/>
    <w:pPr>
      <w:spacing w:line="240" w:lineRule="auto"/>
    </w:pPr>
    <w:tblPr>
      <w:tblStyleRowBandSize w:val="1"/>
      <w:tblStyleColBandSize w:val="1"/>
      <w:tblBorders>
        <w:top w:val="single" w:sz="8" w:space="0" w:color="5AA2AE" w:themeColor="accent5"/>
        <w:left w:val="single" w:sz="8" w:space="0" w:color="5AA2AE" w:themeColor="accent5"/>
        <w:bottom w:val="single" w:sz="8" w:space="0" w:color="5AA2AE" w:themeColor="accent5"/>
        <w:right w:val="single" w:sz="8" w:space="0" w:color="5AA2AE" w:themeColor="accent5"/>
      </w:tblBorders>
    </w:tblPr>
    <w:tblStylePr w:type="firstRow">
      <w:pPr>
        <w:spacing w:before="0" w:after="0" w:line="240" w:lineRule="auto"/>
      </w:pPr>
      <w:rPr>
        <w:b/>
        <w:bCs/>
        <w:color w:val="FFFFFF" w:themeColor="background1"/>
      </w:rPr>
      <w:tblPr/>
      <w:tcPr>
        <w:shd w:val="clear" w:color="auto" w:fill="5AA2AE" w:themeFill="accent5"/>
      </w:tcPr>
    </w:tblStylePr>
    <w:tblStylePr w:type="lastRow">
      <w:pPr>
        <w:spacing w:before="0" w:after="0" w:line="240" w:lineRule="auto"/>
      </w:pPr>
      <w:rPr>
        <w:b/>
        <w:bCs/>
      </w:rPr>
      <w:tblPr/>
      <w:tcPr>
        <w:tcBorders>
          <w:top w:val="double" w:sz="6" w:space="0" w:color="5AA2AE" w:themeColor="accent5"/>
          <w:left w:val="single" w:sz="8" w:space="0" w:color="5AA2AE" w:themeColor="accent5"/>
          <w:bottom w:val="single" w:sz="8" w:space="0" w:color="5AA2AE" w:themeColor="accent5"/>
          <w:right w:val="single" w:sz="8" w:space="0" w:color="5AA2AE" w:themeColor="accent5"/>
        </w:tcBorders>
      </w:tcPr>
    </w:tblStylePr>
    <w:tblStylePr w:type="firstCol">
      <w:rPr>
        <w:b/>
        <w:bCs/>
      </w:rPr>
    </w:tblStylePr>
    <w:tblStylePr w:type="lastCol">
      <w:rPr>
        <w:b/>
        <w:bCs/>
      </w:rPr>
    </w:tblStylePr>
    <w:tblStylePr w:type="band1Vert">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tcPr>
    </w:tblStylePr>
    <w:tblStylePr w:type="band1Horz">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tcPr>
    </w:tblStylePr>
  </w:style>
  <w:style w:type="table" w:styleId="Listaoscura-nfasis5">
    <w:name w:val="Dark List Accent 5"/>
    <w:basedOn w:val="Tablanormal"/>
    <w:uiPriority w:val="70"/>
    <w:rsid w:val="00F74B84"/>
    <w:pPr>
      <w:spacing w:line="240" w:lineRule="auto"/>
    </w:pPr>
    <w:rPr>
      <w:color w:val="FFFFFF" w:themeColor="background1"/>
    </w:rPr>
    <w:tblPr>
      <w:tblStyleRowBandSize w:val="1"/>
      <w:tblStyleColBandSize w:val="1"/>
    </w:tblPr>
    <w:tcPr>
      <w:shd w:val="clear" w:color="auto" w:fill="5AA2A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515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17A8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17A84" w:themeFill="accent5" w:themeFillShade="BF"/>
      </w:tcPr>
    </w:tblStylePr>
    <w:tblStylePr w:type="band1Vert">
      <w:tblPr/>
      <w:tcPr>
        <w:tcBorders>
          <w:top w:val="nil"/>
          <w:left w:val="nil"/>
          <w:bottom w:val="nil"/>
          <w:right w:val="nil"/>
          <w:insideH w:val="nil"/>
          <w:insideV w:val="nil"/>
        </w:tcBorders>
        <w:shd w:val="clear" w:color="auto" w:fill="417A84" w:themeFill="accent5" w:themeFillShade="BF"/>
      </w:tcPr>
    </w:tblStylePr>
    <w:tblStylePr w:type="band1Horz">
      <w:tblPr/>
      <w:tcPr>
        <w:tcBorders>
          <w:top w:val="nil"/>
          <w:left w:val="nil"/>
          <w:bottom w:val="nil"/>
          <w:right w:val="nil"/>
          <w:insideH w:val="nil"/>
          <w:insideV w:val="nil"/>
        </w:tcBorders>
        <w:shd w:val="clear" w:color="auto" w:fill="417A84" w:themeFill="accent5" w:themeFillShade="BF"/>
      </w:tcPr>
    </w:tblStylePr>
  </w:style>
  <w:style w:type="table" w:styleId="Sombreadovistoso-nfasis5">
    <w:name w:val="Colorful Shading Accent 5"/>
    <w:basedOn w:val="Tablanormal"/>
    <w:uiPriority w:val="71"/>
    <w:rsid w:val="00F74B84"/>
    <w:pPr>
      <w:spacing w:line="240" w:lineRule="auto"/>
    </w:pPr>
    <w:rPr>
      <w:color w:val="000000" w:themeColor="text1"/>
    </w:rPr>
    <w:tblPr>
      <w:tblStyleRowBandSize w:val="1"/>
      <w:tblStyleColBandSize w:val="1"/>
      <w:tblBorders>
        <w:top w:val="single" w:sz="24" w:space="0" w:color="9D90A0" w:themeColor="accent6"/>
        <w:left w:val="single" w:sz="4" w:space="0" w:color="5AA2AE" w:themeColor="accent5"/>
        <w:bottom w:val="single" w:sz="4" w:space="0" w:color="5AA2AE" w:themeColor="accent5"/>
        <w:right w:val="single" w:sz="4" w:space="0" w:color="5AA2AE" w:themeColor="accent5"/>
        <w:insideH w:val="single" w:sz="4" w:space="0" w:color="FFFFFF" w:themeColor="background1"/>
        <w:insideV w:val="single" w:sz="4" w:space="0" w:color="FFFFFF" w:themeColor="background1"/>
      </w:tblBorders>
    </w:tblPr>
    <w:tcPr>
      <w:shd w:val="clear" w:color="auto" w:fill="EEF5F7" w:themeFill="accent5" w:themeFillTint="19"/>
    </w:tcPr>
    <w:tblStylePr w:type="firstRow">
      <w:rPr>
        <w:b/>
        <w:bCs/>
      </w:rPr>
      <w:tblPr/>
      <w:tcPr>
        <w:tcBorders>
          <w:top w:val="nil"/>
          <w:left w:val="nil"/>
          <w:bottom w:val="single" w:sz="24" w:space="0" w:color="9D90A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626A" w:themeFill="accent5" w:themeFillShade="99"/>
      </w:tcPr>
    </w:tblStylePr>
    <w:tblStylePr w:type="firstCol">
      <w:rPr>
        <w:color w:val="FFFFFF" w:themeColor="background1"/>
      </w:rPr>
      <w:tblPr/>
      <w:tcPr>
        <w:tcBorders>
          <w:top w:val="nil"/>
          <w:left w:val="nil"/>
          <w:bottom w:val="nil"/>
          <w:right w:val="nil"/>
          <w:insideH w:val="single" w:sz="4" w:space="0" w:color="34626A" w:themeColor="accent5" w:themeShade="99"/>
          <w:insideV w:val="nil"/>
        </w:tcBorders>
        <w:shd w:val="clear" w:color="auto" w:fill="34626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4626A" w:themeFill="accent5" w:themeFillShade="99"/>
      </w:tcPr>
    </w:tblStylePr>
    <w:tblStylePr w:type="band1Vert">
      <w:tblPr/>
      <w:tcPr>
        <w:shd w:val="clear" w:color="auto" w:fill="BCD9DE" w:themeFill="accent5" w:themeFillTint="66"/>
      </w:tcPr>
    </w:tblStylePr>
    <w:tblStylePr w:type="band1Horz">
      <w:tblPr/>
      <w:tcPr>
        <w:shd w:val="clear" w:color="auto" w:fill="ACD0D6" w:themeFill="accent5" w:themeFillTint="7F"/>
      </w:tcPr>
    </w:tblStylePr>
    <w:tblStylePr w:type="neCell">
      <w:rPr>
        <w:color w:val="000000" w:themeColor="text1"/>
      </w:rPr>
    </w:tblStylePr>
    <w:tblStylePr w:type="nwCell">
      <w:rPr>
        <w:color w:val="000000" w:themeColor="text1"/>
      </w:rPr>
    </w:tblStylePr>
  </w:style>
  <w:style w:type="table" w:styleId="Listavistosa-nfasis5">
    <w:name w:val="Colorful List Accent 5"/>
    <w:basedOn w:val="Tablanormal"/>
    <w:uiPriority w:val="72"/>
    <w:rsid w:val="00F74B84"/>
    <w:pPr>
      <w:spacing w:line="240" w:lineRule="auto"/>
    </w:pPr>
    <w:rPr>
      <w:color w:val="000000" w:themeColor="text1"/>
    </w:rPr>
    <w:tblPr>
      <w:tblStyleRowBandSize w:val="1"/>
      <w:tblStyleColBandSize w:val="1"/>
    </w:tblPr>
    <w:tcPr>
      <w:shd w:val="clear" w:color="auto" w:fill="EEF5F7" w:themeFill="accent5" w:themeFillTint="19"/>
    </w:tcPr>
    <w:tblStylePr w:type="firstRow">
      <w:rPr>
        <w:b/>
        <w:bCs/>
        <w:color w:val="FFFFFF" w:themeColor="background1"/>
      </w:rPr>
      <w:tblPr/>
      <w:tcPr>
        <w:tcBorders>
          <w:bottom w:val="single" w:sz="12" w:space="0" w:color="FFFFFF" w:themeColor="background1"/>
        </w:tcBorders>
        <w:shd w:val="clear" w:color="auto" w:fill="7F7082" w:themeFill="accent6" w:themeFillShade="CC"/>
      </w:tcPr>
    </w:tblStylePr>
    <w:tblStylePr w:type="lastRow">
      <w:rPr>
        <w:b/>
        <w:bCs/>
        <w:color w:val="7F708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7EB" w:themeFill="accent5" w:themeFillTint="3F"/>
      </w:tcPr>
    </w:tblStylePr>
    <w:tblStylePr w:type="band1Horz">
      <w:tblPr/>
      <w:tcPr>
        <w:shd w:val="clear" w:color="auto" w:fill="DDECEE" w:themeFill="accent5" w:themeFillTint="33"/>
      </w:tcPr>
    </w:tblStylePr>
  </w:style>
  <w:style w:type="table" w:styleId="Sombreadomedio1-nfasis5">
    <w:name w:val="Medium Shading 1 Accent 5"/>
    <w:basedOn w:val="Tablanormal"/>
    <w:uiPriority w:val="63"/>
    <w:rsid w:val="00F74B84"/>
    <w:pPr>
      <w:spacing w:line="240" w:lineRule="auto"/>
    </w:pPr>
    <w:tblPr>
      <w:tblStyleRowBandSize w:val="1"/>
      <w:tblStyleColBandSize w:val="1"/>
      <w:tblBorders>
        <w:top w:val="single" w:sz="8"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single" w:sz="8" w:space="0" w:color="83B9C2" w:themeColor="accent5" w:themeTint="BF"/>
      </w:tblBorders>
    </w:tblPr>
    <w:tblStylePr w:type="firstRow">
      <w:pPr>
        <w:spacing w:before="0" w:after="0" w:line="240" w:lineRule="auto"/>
      </w:pPr>
      <w:rPr>
        <w:b/>
        <w:bCs/>
        <w:color w:val="FFFFFF" w:themeColor="background1"/>
      </w:rPr>
      <w:tblPr/>
      <w:tcPr>
        <w:tcBorders>
          <w:top w:val="single" w:sz="8"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nil"/>
          <w:insideV w:val="nil"/>
        </w:tcBorders>
        <w:shd w:val="clear" w:color="auto" w:fill="5AA2AE" w:themeFill="accent5"/>
      </w:tcPr>
    </w:tblStylePr>
    <w:tblStylePr w:type="lastRow">
      <w:pPr>
        <w:spacing w:before="0" w:after="0" w:line="240" w:lineRule="auto"/>
      </w:pPr>
      <w:rPr>
        <w:b/>
        <w:bCs/>
      </w:rPr>
      <w:tblPr/>
      <w:tcPr>
        <w:tcBorders>
          <w:top w:val="double" w:sz="6"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7EB" w:themeFill="accent5" w:themeFillTint="3F"/>
      </w:tcPr>
    </w:tblStylePr>
    <w:tblStylePr w:type="band1Horz">
      <w:tblPr/>
      <w:tcPr>
        <w:tcBorders>
          <w:insideH w:val="nil"/>
          <w:insideV w:val="nil"/>
        </w:tcBorders>
        <w:shd w:val="clear" w:color="auto" w:fill="D6E7EB" w:themeFill="accent5" w:themeFillTint="3F"/>
      </w:tcPr>
    </w:tblStylePr>
    <w:tblStylePr w:type="band2Horz">
      <w:tblPr/>
      <w:tcPr>
        <w:tcBorders>
          <w:insideH w:val="nil"/>
          <w:insideV w:val="nil"/>
        </w:tcBorders>
      </w:tcPr>
    </w:tblStylePr>
  </w:style>
  <w:style w:type="character" w:customStyle="1" w:styleId="Ttulo1Car">
    <w:name w:val="Título 1 Car"/>
    <w:basedOn w:val="Fuentedeprrafopredeter"/>
    <w:link w:val="Ttulo1"/>
    <w:uiPriority w:val="9"/>
    <w:rsid w:val="00666AA8"/>
    <w:rPr>
      <w:rFonts w:asciiTheme="majorHAnsi" w:eastAsiaTheme="majorEastAsia" w:hAnsiTheme="majorHAnsi" w:cstheme="majorBidi"/>
      <w:b/>
      <w:bCs/>
      <w:color w:val="3476B1" w:themeColor="accent1" w:themeShade="BF"/>
      <w:sz w:val="28"/>
      <w:szCs w:val="28"/>
    </w:rPr>
  </w:style>
  <w:style w:type="paragraph" w:styleId="TtuloTDC">
    <w:name w:val="TOC Heading"/>
    <w:basedOn w:val="Ttulo1"/>
    <w:next w:val="Normal"/>
    <w:uiPriority w:val="39"/>
    <w:semiHidden/>
    <w:unhideWhenUsed/>
    <w:qFormat/>
    <w:rsid w:val="00666AA8"/>
    <w:pPr>
      <w:outlineLvl w:val="9"/>
    </w:pPr>
    <w:rPr>
      <w:lang w:eastAsia="es-PY"/>
    </w:rPr>
  </w:style>
  <w:style w:type="paragraph" w:styleId="TDC2">
    <w:name w:val="toc 2"/>
    <w:basedOn w:val="Normal"/>
    <w:next w:val="Normal"/>
    <w:autoRedefine/>
    <w:uiPriority w:val="39"/>
    <w:unhideWhenUsed/>
    <w:rsid w:val="00666AA8"/>
    <w:pPr>
      <w:spacing w:after="100"/>
      <w:ind w:left="220"/>
    </w:pPr>
  </w:style>
  <w:style w:type="paragraph" w:styleId="TDC3">
    <w:name w:val="toc 3"/>
    <w:basedOn w:val="Normal"/>
    <w:next w:val="Normal"/>
    <w:autoRedefine/>
    <w:uiPriority w:val="39"/>
    <w:unhideWhenUsed/>
    <w:rsid w:val="002A7BB6"/>
    <w:pPr>
      <w:tabs>
        <w:tab w:val="left" w:pos="880"/>
        <w:tab w:val="right" w:leader="dot" w:pos="9255"/>
      </w:tabs>
      <w:spacing w:after="100"/>
      <w:ind w:left="284" w:firstLine="156"/>
    </w:pPr>
  </w:style>
  <w:style w:type="character" w:styleId="Hipervnculo">
    <w:name w:val="Hyperlink"/>
    <w:basedOn w:val="Fuentedeprrafopredeter"/>
    <w:uiPriority w:val="99"/>
    <w:unhideWhenUsed/>
    <w:rsid w:val="00666AA8"/>
    <w:rPr>
      <w:color w:val="9454C3" w:themeColor="hyperlink"/>
      <w:u w:val="single"/>
    </w:rPr>
  </w:style>
  <w:style w:type="character" w:customStyle="1" w:styleId="Ttulo4Car">
    <w:name w:val="Título 4 Car"/>
    <w:basedOn w:val="Fuentedeprrafopredeter"/>
    <w:link w:val="Ttulo4"/>
    <w:uiPriority w:val="9"/>
    <w:rsid w:val="00C06C93"/>
    <w:rPr>
      <w:rFonts w:asciiTheme="majorHAnsi" w:eastAsiaTheme="majorEastAsia" w:hAnsiTheme="majorHAnsi" w:cstheme="majorBidi"/>
      <w:b/>
      <w:bCs/>
      <w:i/>
      <w:iCs/>
      <w:color w:val="629DD1" w:themeColor="accent1"/>
    </w:rPr>
  </w:style>
  <w:style w:type="paragraph" w:styleId="Revisin">
    <w:name w:val="Revision"/>
    <w:hidden/>
    <w:uiPriority w:val="99"/>
    <w:semiHidden/>
    <w:rsid w:val="00AD5B53"/>
    <w:pPr>
      <w:spacing w:line="240" w:lineRule="auto"/>
      <w:ind w:left="0" w:firstLine="0"/>
      <w:jc w:val="left"/>
    </w:pPr>
    <w:rPr>
      <w:lang w:val="es-PY"/>
    </w:rPr>
  </w:style>
  <w:style w:type="paragraph" w:styleId="TDC1">
    <w:name w:val="toc 1"/>
    <w:basedOn w:val="Normal"/>
    <w:next w:val="Normal"/>
    <w:autoRedefine/>
    <w:uiPriority w:val="39"/>
    <w:unhideWhenUsed/>
    <w:rsid w:val="00796364"/>
    <w:pPr>
      <w:spacing w:after="100"/>
    </w:pPr>
  </w:style>
  <w:style w:type="character" w:customStyle="1" w:styleId="Ttulo5Car">
    <w:name w:val="Título 5 Car"/>
    <w:basedOn w:val="Fuentedeprrafopredeter"/>
    <w:link w:val="Ttulo5"/>
    <w:uiPriority w:val="9"/>
    <w:semiHidden/>
    <w:rsid w:val="00796364"/>
    <w:rPr>
      <w:rFonts w:asciiTheme="majorHAnsi" w:eastAsiaTheme="majorEastAsia" w:hAnsiTheme="majorHAnsi" w:cstheme="majorBidi"/>
      <w:color w:val="224E76" w:themeColor="accent1" w:themeShade="7F"/>
    </w:rPr>
  </w:style>
  <w:style w:type="character" w:customStyle="1" w:styleId="Ttulo6Car">
    <w:name w:val="Título 6 Car"/>
    <w:basedOn w:val="Fuentedeprrafopredeter"/>
    <w:link w:val="Ttulo6"/>
    <w:uiPriority w:val="9"/>
    <w:semiHidden/>
    <w:rsid w:val="00796364"/>
    <w:rPr>
      <w:rFonts w:asciiTheme="majorHAnsi" w:eastAsiaTheme="majorEastAsia" w:hAnsiTheme="majorHAnsi" w:cstheme="majorBidi"/>
      <w:i/>
      <w:iCs/>
      <w:color w:val="224E76" w:themeColor="accent1" w:themeShade="7F"/>
    </w:rPr>
  </w:style>
  <w:style w:type="character" w:customStyle="1" w:styleId="Ttulo7Car">
    <w:name w:val="Título 7 Car"/>
    <w:basedOn w:val="Fuentedeprrafopredeter"/>
    <w:link w:val="Ttulo7"/>
    <w:uiPriority w:val="9"/>
    <w:semiHidden/>
    <w:rsid w:val="00796364"/>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796364"/>
    <w:rPr>
      <w:rFonts w:asciiTheme="majorHAnsi" w:eastAsiaTheme="majorEastAsia" w:hAnsiTheme="majorHAnsi" w:cstheme="majorBidi"/>
      <w:color w:val="404040" w:themeColor="text1" w:themeTint="BF"/>
      <w:szCs w:val="20"/>
    </w:rPr>
  </w:style>
  <w:style w:type="character" w:customStyle="1" w:styleId="Ttulo9Car">
    <w:name w:val="Título 9 Car"/>
    <w:basedOn w:val="Fuentedeprrafopredeter"/>
    <w:link w:val="Ttulo9"/>
    <w:uiPriority w:val="9"/>
    <w:semiHidden/>
    <w:rsid w:val="00796364"/>
    <w:rPr>
      <w:rFonts w:asciiTheme="majorHAnsi" w:eastAsiaTheme="majorEastAsia" w:hAnsiTheme="majorHAnsi" w:cstheme="majorBidi"/>
      <w:i/>
      <w:iCs/>
      <w:color w:val="404040" w:themeColor="text1" w:themeTint="BF"/>
      <w:szCs w:val="20"/>
    </w:rPr>
  </w:style>
  <w:style w:type="numbering" w:customStyle="1" w:styleId="Estilo1">
    <w:name w:val="Estilo1"/>
    <w:uiPriority w:val="99"/>
    <w:rsid w:val="00A708B1"/>
    <w:pPr>
      <w:numPr>
        <w:numId w:val="2"/>
      </w:numPr>
    </w:pPr>
  </w:style>
  <w:style w:type="numbering" w:customStyle="1" w:styleId="Estilo2">
    <w:name w:val="Estilo2"/>
    <w:uiPriority w:val="99"/>
    <w:rsid w:val="002F5105"/>
    <w:pPr>
      <w:numPr>
        <w:numId w:val="4"/>
      </w:numPr>
    </w:pPr>
  </w:style>
  <w:style w:type="paragraph" w:styleId="TDC4">
    <w:name w:val="toc 4"/>
    <w:basedOn w:val="Normal"/>
    <w:next w:val="Normal"/>
    <w:autoRedefine/>
    <w:uiPriority w:val="39"/>
    <w:unhideWhenUsed/>
    <w:rsid w:val="00B8495B"/>
    <w:pPr>
      <w:spacing w:after="100"/>
      <w:ind w:left="660"/>
    </w:pPr>
  </w:style>
  <w:style w:type="numbering" w:customStyle="1" w:styleId="Estilo3">
    <w:name w:val="Estilo3"/>
    <w:uiPriority w:val="99"/>
    <w:rsid w:val="00BE1376"/>
    <w:pPr>
      <w:numPr>
        <w:numId w:val="7"/>
      </w:numPr>
    </w:pPr>
  </w:style>
  <w:style w:type="numbering" w:customStyle="1" w:styleId="Estilo4">
    <w:name w:val="Estilo4"/>
    <w:uiPriority w:val="99"/>
    <w:rsid w:val="00BE1376"/>
    <w:pPr>
      <w:numPr>
        <w:numId w:val="8"/>
      </w:numPr>
    </w:pPr>
  </w:style>
  <w:style w:type="character" w:customStyle="1" w:styleId="PrrafodelistaCar">
    <w:name w:val="Párrafo de lista Car"/>
    <w:aliases w:val="titulo 5 Car,Lista de nivel 1 Car"/>
    <w:link w:val="Prrafodelista"/>
    <w:uiPriority w:val="34"/>
    <w:rsid w:val="00374E4B"/>
    <w:rPr>
      <w:rFonts w:ascii="Calibri" w:eastAsia="Times New Roman" w:hAnsi="Calibri"/>
    </w:rPr>
  </w:style>
  <w:style w:type="paragraph" w:styleId="NormalWeb">
    <w:name w:val="Normal (Web)"/>
    <w:basedOn w:val="Normal"/>
    <w:uiPriority w:val="99"/>
    <w:unhideWhenUsed/>
    <w:rsid w:val="00374E4B"/>
    <w:pPr>
      <w:spacing w:before="100" w:beforeAutospacing="1" w:after="100" w:afterAutospacing="1" w:line="240" w:lineRule="auto"/>
    </w:pPr>
    <w:rPr>
      <w:rFonts w:eastAsia="Times New Roman"/>
      <w:sz w:val="24"/>
      <w:szCs w:val="24"/>
      <w:lang w:val="es-PY" w:eastAsia="es-PY"/>
    </w:rPr>
  </w:style>
  <w:style w:type="character" w:styleId="Textoennegrita">
    <w:name w:val="Strong"/>
    <w:basedOn w:val="Fuentedeprrafopredeter"/>
    <w:uiPriority w:val="22"/>
    <w:qFormat/>
    <w:rsid w:val="00374E4B"/>
    <w:rPr>
      <w:b/>
      <w:bCs/>
    </w:rPr>
  </w:style>
  <w:style w:type="character" w:styleId="nfasis">
    <w:name w:val="Emphasis"/>
    <w:basedOn w:val="Fuentedeprrafopredeter"/>
    <w:uiPriority w:val="20"/>
    <w:qFormat/>
    <w:rsid w:val="00374E4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128116">
      <w:bodyDiv w:val="1"/>
      <w:marLeft w:val="0"/>
      <w:marRight w:val="0"/>
      <w:marTop w:val="0"/>
      <w:marBottom w:val="0"/>
      <w:divBdr>
        <w:top w:val="none" w:sz="0" w:space="0" w:color="auto"/>
        <w:left w:val="none" w:sz="0" w:space="0" w:color="auto"/>
        <w:bottom w:val="none" w:sz="0" w:space="0" w:color="auto"/>
        <w:right w:val="none" w:sz="0" w:space="0" w:color="auto"/>
      </w:divBdr>
    </w:div>
    <w:div w:id="147332743">
      <w:bodyDiv w:val="1"/>
      <w:marLeft w:val="0"/>
      <w:marRight w:val="0"/>
      <w:marTop w:val="0"/>
      <w:marBottom w:val="0"/>
      <w:divBdr>
        <w:top w:val="none" w:sz="0" w:space="0" w:color="auto"/>
        <w:left w:val="none" w:sz="0" w:space="0" w:color="auto"/>
        <w:bottom w:val="none" w:sz="0" w:space="0" w:color="auto"/>
        <w:right w:val="none" w:sz="0" w:space="0" w:color="auto"/>
      </w:divBdr>
    </w:div>
    <w:div w:id="171914154">
      <w:bodyDiv w:val="1"/>
      <w:marLeft w:val="0"/>
      <w:marRight w:val="0"/>
      <w:marTop w:val="0"/>
      <w:marBottom w:val="0"/>
      <w:divBdr>
        <w:top w:val="none" w:sz="0" w:space="0" w:color="auto"/>
        <w:left w:val="none" w:sz="0" w:space="0" w:color="auto"/>
        <w:bottom w:val="none" w:sz="0" w:space="0" w:color="auto"/>
        <w:right w:val="none" w:sz="0" w:space="0" w:color="auto"/>
      </w:divBdr>
    </w:div>
    <w:div w:id="182936938">
      <w:bodyDiv w:val="1"/>
      <w:marLeft w:val="0"/>
      <w:marRight w:val="0"/>
      <w:marTop w:val="0"/>
      <w:marBottom w:val="0"/>
      <w:divBdr>
        <w:top w:val="none" w:sz="0" w:space="0" w:color="auto"/>
        <w:left w:val="none" w:sz="0" w:space="0" w:color="auto"/>
        <w:bottom w:val="none" w:sz="0" w:space="0" w:color="auto"/>
        <w:right w:val="none" w:sz="0" w:space="0" w:color="auto"/>
      </w:divBdr>
    </w:div>
    <w:div w:id="258680250">
      <w:bodyDiv w:val="1"/>
      <w:marLeft w:val="0"/>
      <w:marRight w:val="0"/>
      <w:marTop w:val="0"/>
      <w:marBottom w:val="0"/>
      <w:divBdr>
        <w:top w:val="none" w:sz="0" w:space="0" w:color="auto"/>
        <w:left w:val="none" w:sz="0" w:space="0" w:color="auto"/>
        <w:bottom w:val="none" w:sz="0" w:space="0" w:color="auto"/>
        <w:right w:val="none" w:sz="0" w:space="0" w:color="auto"/>
      </w:divBdr>
    </w:div>
    <w:div w:id="370157779">
      <w:bodyDiv w:val="1"/>
      <w:marLeft w:val="0"/>
      <w:marRight w:val="0"/>
      <w:marTop w:val="0"/>
      <w:marBottom w:val="0"/>
      <w:divBdr>
        <w:top w:val="none" w:sz="0" w:space="0" w:color="auto"/>
        <w:left w:val="none" w:sz="0" w:space="0" w:color="auto"/>
        <w:bottom w:val="none" w:sz="0" w:space="0" w:color="auto"/>
        <w:right w:val="none" w:sz="0" w:space="0" w:color="auto"/>
      </w:divBdr>
    </w:div>
    <w:div w:id="523522968">
      <w:bodyDiv w:val="1"/>
      <w:marLeft w:val="0"/>
      <w:marRight w:val="0"/>
      <w:marTop w:val="0"/>
      <w:marBottom w:val="0"/>
      <w:divBdr>
        <w:top w:val="none" w:sz="0" w:space="0" w:color="auto"/>
        <w:left w:val="none" w:sz="0" w:space="0" w:color="auto"/>
        <w:bottom w:val="none" w:sz="0" w:space="0" w:color="auto"/>
        <w:right w:val="none" w:sz="0" w:space="0" w:color="auto"/>
      </w:divBdr>
    </w:div>
    <w:div w:id="552934248">
      <w:bodyDiv w:val="1"/>
      <w:marLeft w:val="0"/>
      <w:marRight w:val="0"/>
      <w:marTop w:val="0"/>
      <w:marBottom w:val="0"/>
      <w:divBdr>
        <w:top w:val="none" w:sz="0" w:space="0" w:color="auto"/>
        <w:left w:val="none" w:sz="0" w:space="0" w:color="auto"/>
        <w:bottom w:val="none" w:sz="0" w:space="0" w:color="auto"/>
        <w:right w:val="none" w:sz="0" w:space="0" w:color="auto"/>
      </w:divBdr>
    </w:div>
    <w:div w:id="650326865">
      <w:bodyDiv w:val="1"/>
      <w:marLeft w:val="0"/>
      <w:marRight w:val="0"/>
      <w:marTop w:val="0"/>
      <w:marBottom w:val="0"/>
      <w:divBdr>
        <w:top w:val="none" w:sz="0" w:space="0" w:color="auto"/>
        <w:left w:val="none" w:sz="0" w:space="0" w:color="auto"/>
        <w:bottom w:val="none" w:sz="0" w:space="0" w:color="auto"/>
        <w:right w:val="none" w:sz="0" w:space="0" w:color="auto"/>
      </w:divBdr>
    </w:div>
    <w:div w:id="672879115">
      <w:bodyDiv w:val="1"/>
      <w:marLeft w:val="0"/>
      <w:marRight w:val="0"/>
      <w:marTop w:val="0"/>
      <w:marBottom w:val="0"/>
      <w:divBdr>
        <w:top w:val="none" w:sz="0" w:space="0" w:color="auto"/>
        <w:left w:val="none" w:sz="0" w:space="0" w:color="auto"/>
        <w:bottom w:val="none" w:sz="0" w:space="0" w:color="auto"/>
        <w:right w:val="none" w:sz="0" w:space="0" w:color="auto"/>
      </w:divBdr>
    </w:div>
    <w:div w:id="750202552">
      <w:bodyDiv w:val="1"/>
      <w:marLeft w:val="0"/>
      <w:marRight w:val="0"/>
      <w:marTop w:val="0"/>
      <w:marBottom w:val="0"/>
      <w:divBdr>
        <w:top w:val="none" w:sz="0" w:space="0" w:color="auto"/>
        <w:left w:val="none" w:sz="0" w:space="0" w:color="auto"/>
        <w:bottom w:val="none" w:sz="0" w:space="0" w:color="auto"/>
        <w:right w:val="none" w:sz="0" w:space="0" w:color="auto"/>
      </w:divBdr>
    </w:div>
    <w:div w:id="777331788">
      <w:bodyDiv w:val="1"/>
      <w:marLeft w:val="0"/>
      <w:marRight w:val="0"/>
      <w:marTop w:val="0"/>
      <w:marBottom w:val="0"/>
      <w:divBdr>
        <w:top w:val="none" w:sz="0" w:space="0" w:color="auto"/>
        <w:left w:val="none" w:sz="0" w:space="0" w:color="auto"/>
        <w:bottom w:val="none" w:sz="0" w:space="0" w:color="auto"/>
        <w:right w:val="none" w:sz="0" w:space="0" w:color="auto"/>
      </w:divBdr>
    </w:div>
    <w:div w:id="780077726">
      <w:bodyDiv w:val="1"/>
      <w:marLeft w:val="0"/>
      <w:marRight w:val="0"/>
      <w:marTop w:val="0"/>
      <w:marBottom w:val="0"/>
      <w:divBdr>
        <w:top w:val="none" w:sz="0" w:space="0" w:color="auto"/>
        <w:left w:val="none" w:sz="0" w:space="0" w:color="auto"/>
        <w:bottom w:val="none" w:sz="0" w:space="0" w:color="auto"/>
        <w:right w:val="none" w:sz="0" w:space="0" w:color="auto"/>
      </w:divBdr>
    </w:div>
    <w:div w:id="827138805">
      <w:bodyDiv w:val="1"/>
      <w:marLeft w:val="0"/>
      <w:marRight w:val="0"/>
      <w:marTop w:val="0"/>
      <w:marBottom w:val="0"/>
      <w:divBdr>
        <w:top w:val="none" w:sz="0" w:space="0" w:color="auto"/>
        <w:left w:val="none" w:sz="0" w:space="0" w:color="auto"/>
        <w:bottom w:val="none" w:sz="0" w:space="0" w:color="auto"/>
        <w:right w:val="none" w:sz="0" w:space="0" w:color="auto"/>
      </w:divBdr>
    </w:div>
    <w:div w:id="845949068">
      <w:bodyDiv w:val="1"/>
      <w:marLeft w:val="0"/>
      <w:marRight w:val="0"/>
      <w:marTop w:val="0"/>
      <w:marBottom w:val="0"/>
      <w:divBdr>
        <w:top w:val="none" w:sz="0" w:space="0" w:color="auto"/>
        <w:left w:val="none" w:sz="0" w:space="0" w:color="auto"/>
        <w:bottom w:val="none" w:sz="0" w:space="0" w:color="auto"/>
        <w:right w:val="none" w:sz="0" w:space="0" w:color="auto"/>
      </w:divBdr>
    </w:div>
    <w:div w:id="848445340">
      <w:bodyDiv w:val="1"/>
      <w:marLeft w:val="0"/>
      <w:marRight w:val="0"/>
      <w:marTop w:val="0"/>
      <w:marBottom w:val="0"/>
      <w:divBdr>
        <w:top w:val="none" w:sz="0" w:space="0" w:color="auto"/>
        <w:left w:val="none" w:sz="0" w:space="0" w:color="auto"/>
        <w:bottom w:val="none" w:sz="0" w:space="0" w:color="auto"/>
        <w:right w:val="none" w:sz="0" w:space="0" w:color="auto"/>
      </w:divBdr>
    </w:div>
    <w:div w:id="1049184606">
      <w:bodyDiv w:val="1"/>
      <w:marLeft w:val="0"/>
      <w:marRight w:val="0"/>
      <w:marTop w:val="0"/>
      <w:marBottom w:val="0"/>
      <w:divBdr>
        <w:top w:val="none" w:sz="0" w:space="0" w:color="auto"/>
        <w:left w:val="none" w:sz="0" w:space="0" w:color="auto"/>
        <w:bottom w:val="none" w:sz="0" w:space="0" w:color="auto"/>
        <w:right w:val="none" w:sz="0" w:space="0" w:color="auto"/>
      </w:divBdr>
    </w:div>
    <w:div w:id="1091858048">
      <w:bodyDiv w:val="1"/>
      <w:marLeft w:val="0"/>
      <w:marRight w:val="0"/>
      <w:marTop w:val="0"/>
      <w:marBottom w:val="0"/>
      <w:divBdr>
        <w:top w:val="none" w:sz="0" w:space="0" w:color="auto"/>
        <w:left w:val="none" w:sz="0" w:space="0" w:color="auto"/>
        <w:bottom w:val="none" w:sz="0" w:space="0" w:color="auto"/>
        <w:right w:val="none" w:sz="0" w:space="0" w:color="auto"/>
      </w:divBdr>
    </w:div>
    <w:div w:id="1138642233">
      <w:bodyDiv w:val="1"/>
      <w:marLeft w:val="0"/>
      <w:marRight w:val="0"/>
      <w:marTop w:val="0"/>
      <w:marBottom w:val="0"/>
      <w:divBdr>
        <w:top w:val="none" w:sz="0" w:space="0" w:color="auto"/>
        <w:left w:val="none" w:sz="0" w:space="0" w:color="auto"/>
        <w:bottom w:val="none" w:sz="0" w:space="0" w:color="auto"/>
        <w:right w:val="none" w:sz="0" w:space="0" w:color="auto"/>
      </w:divBdr>
    </w:div>
    <w:div w:id="1231383173">
      <w:bodyDiv w:val="1"/>
      <w:marLeft w:val="0"/>
      <w:marRight w:val="0"/>
      <w:marTop w:val="0"/>
      <w:marBottom w:val="0"/>
      <w:divBdr>
        <w:top w:val="none" w:sz="0" w:space="0" w:color="auto"/>
        <w:left w:val="none" w:sz="0" w:space="0" w:color="auto"/>
        <w:bottom w:val="none" w:sz="0" w:space="0" w:color="auto"/>
        <w:right w:val="none" w:sz="0" w:space="0" w:color="auto"/>
      </w:divBdr>
    </w:div>
    <w:div w:id="1252546385">
      <w:bodyDiv w:val="1"/>
      <w:marLeft w:val="0"/>
      <w:marRight w:val="0"/>
      <w:marTop w:val="0"/>
      <w:marBottom w:val="0"/>
      <w:divBdr>
        <w:top w:val="none" w:sz="0" w:space="0" w:color="auto"/>
        <w:left w:val="none" w:sz="0" w:space="0" w:color="auto"/>
        <w:bottom w:val="none" w:sz="0" w:space="0" w:color="auto"/>
        <w:right w:val="none" w:sz="0" w:space="0" w:color="auto"/>
      </w:divBdr>
    </w:div>
    <w:div w:id="1252666506">
      <w:bodyDiv w:val="1"/>
      <w:marLeft w:val="0"/>
      <w:marRight w:val="0"/>
      <w:marTop w:val="0"/>
      <w:marBottom w:val="0"/>
      <w:divBdr>
        <w:top w:val="none" w:sz="0" w:space="0" w:color="auto"/>
        <w:left w:val="none" w:sz="0" w:space="0" w:color="auto"/>
        <w:bottom w:val="none" w:sz="0" w:space="0" w:color="auto"/>
        <w:right w:val="none" w:sz="0" w:space="0" w:color="auto"/>
      </w:divBdr>
    </w:div>
    <w:div w:id="1317146595">
      <w:bodyDiv w:val="1"/>
      <w:marLeft w:val="0"/>
      <w:marRight w:val="0"/>
      <w:marTop w:val="0"/>
      <w:marBottom w:val="0"/>
      <w:divBdr>
        <w:top w:val="none" w:sz="0" w:space="0" w:color="auto"/>
        <w:left w:val="none" w:sz="0" w:space="0" w:color="auto"/>
        <w:bottom w:val="none" w:sz="0" w:space="0" w:color="auto"/>
        <w:right w:val="none" w:sz="0" w:space="0" w:color="auto"/>
      </w:divBdr>
    </w:div>
    <w:div w:id="1356468817">
      <w:bodyDiv w:val="1"/>
      <w:marLeft w:val="0"/>
      <w:marRight w:val="0"/>
      <w:marTop w:val="0"/>
      <w:marBottom w:val="0"/>
      <w:divBdr>
        <w:top w:val="none" w:sz="0" w:space="0" w:color="auto"/>
        <w:left w:val="none" w:sz="0" w:space="0" w:color="auto"/>
        <w:bottom w:val="none" w:sz="0" w:space="0" w:color="auto"/>
        <w:right w:val="none" w:sz="0" w:space="0" w:color="auto"/>
      </w:divBdr>
    </w:div>
    <w:div w:id="1510683310">
      <w:bodyDiv w:val="1"/>
      <w:marLeft w:val="0"/>
      <w:marRight w:val="0"/>
      <w:marTop w:val="0"/>
      <w:marBottom w:val="0"/>
      <w:divBdr>
        <w:top w:val="none" w:sz="0" w:space="0" w:color="auto"/>
        <w:left w:val="none" w:sz="0" w:space="0" w:color="auto"/>
        <w:bottom w:val="none" w:sz="0" w:space="0" w:color="auto"/>
        <w:right w:val="none" w:sz="0" w:space="0" w:color="auto"/>
      </w:divBdr>
    </w:div>
    <w:div w:id="1603756475">
      <w:bodyDiv w:val="1"/>
      <w:marLeft w:val="0"/>
      <w:marRight w:val="0"/>
      <w:marTop w:val="0"/>
      <w:marBottom w:val="0"/>
      <w:divBdr>
        <w:top w:val="none" w:sz="0" w:space="0" w:color="auto"/>
        <w:left w:val="none" w:sz="0" w:space="0" w:color="auto"/>
        <w:bottom w:val="none" w:sz="0" w:space="0" w:color="auto"/>
        <w:right w:val="none" w:sz="0" w:space="0" w:color="auto"/>
      </w:divBdr>
    </w:div>
    <w:div w:id="1703438617">
      <w:bodyDiv w:val="1"/>
      <w:marLeft w:val="0"/>
      <w:marRight w:val="0"/>
      <w:marTop w:val="0"/>
      <w:marBottom w:val="0"/>
      <w:divBdr>
        <w:top w:val="none" w:sz="0" w:space="0" w:color="auto"/>
        <w:left w:val="none" w:sz="0" w:space="0" w:color="auto"/>
        <w:bottom w:val="none" w:sz="0" w:space="0" w:color="auto"/>
        <w:right w:val="none" w:sz="0" w:space="0" w:color="auto"/>
      </w:divBdr>
    </w:div>
    <w:div w:id="1708482970">
      <w:bodyDiv w:val="1"/>
      <w:marLeft w:val="0"/>
      <w:marRight w:val="0"/>
      <w:marTop w:val="0"/>
      <w:marBottom w:val="0"/>
      <w:divBdr>
        <w:top w:val="none" w:sz="0" w:space="0" w:color="auto"/>
        <w:left w:val="none" w:sz="0" w:space="0" w:color="auto"/>
        <w:bottom w:val="none" w:sz="0" w:space="0" w:color="auto"/>
        <w:right w:val="none" w:sz="0" w:space="0" w:color="auto"/>
      </w:divBdr>
    </w:div>
    <w:div w:id="1721395057">
      <w:bodyDiv w:val="1"/>
      <w:marLeft w:val="0"/>
      <w:marRight w:val="0"/>
      <w:marTop w:val="0"/>
      <w:marBottom w:val="0"/>
      <w:divBdr>
        <w:top w:val="none" w:sz="0" w:space="0" w:color="auto"/>
        <w:left w:val="none" w:sz="0" w:space="0" w:color="auto"/>
        <w:bottom w:val="none" w:sz="0" w:space="0" w:color="auto"/>
        <w:right w:val="none" w:sz="0" w:space="0" w:color="auto"/>
      </w:divBdr>
    </w:div>
    <w:div w:id="1829712975">
      <w:bodyDiv w:val="1"/>
      <w:marLeft w:val="0"/>
      <w:marRight w:val="0"/>
      <w:marTop w:val="0"/>
      <w:marBottom w:val="0"/>
      <w:divBdr>
        <w:top w:val="none" w:sz="0" w:space="0" w:color="auto"/>
        <w:left w:val="none" w:sz="0" w:space="0" w:color="auto"/>
        <w:bottom w:val="none" w:sz="0" w:space="0" w:color="auto"/>
        <w:right w:val="none" w:sz="0" w:space="0" w:color="auto"/>
      </w:divBdr>
    </w:div>
    <w:div w:id="1844392744">
      <w:bodyDiv w:val="1"/>
      <w:marLeft w:val="0"/>
      <w:marRight w:val="0"/>
      <w:marTop w:val="0"/>
      <w:marBottom w:val="0"/>
      <w:divBdr>
        <w:top w:val="none" w:sz="0" w:space="0" w:color="auto"/>
        <w:left w:val="none" w:sz="0" w:space="0" w:color="auto"/>
        <w:bottom w:val="none" w:sz="0" w:space="0" w:color="auto"/>
        <w:right w:val="none" w:sz="0" w:space="0" w:color="auto"/>
      </w:divBdr>
    </w:div>
    <w:div w:id="1935236961">
      <w:bodyDiv w:val="1"/>
      <w:marLeft w:val="0"/>
      <w:marRight w:val="0"/>
      <w:marTop w:val="0"/>
      <w:marBottom w:val="0"/>
      <w:divBdr>
        <w:top w:val="none" w:sz="0" w:space="0" w:color="auto"/>
        <w:left w:val="none" w:sz="0" w:space="0" w:color="auto"/>
        <w:bottom w:val="none" w:sz="0" w:space="0" w:color="auto"/>
        <w:right w:val="none" w:sz="0" w:space="0" w:color="auto"/>
      </w:divBdr>
    </w:div>
    <w:div w:id="1951666269">
      <w:bodyDiv w:val="1"/>
      <w:marLeft w:val="0"/>
      <w:marRight w:val="0"/>
      <w:marTop w:val="0"/>
      <w:marBottom w:val="0"/>
      <w:divBdr>
        <w:top w:val="none" w:sz="0" w:space="0" w:color="auto"/>
        <w:left w:val="none" w:sz="0" w:space="0" w:color="auto"/>
        <w:bottom w:val="none" w:sz="0" w:space="0" w:color="auto"/>
        <w:right w:val="none" w:sz="0" w:space="0" w:color="auto"/>
      </w:divBdr>
    </w:div>
    <w:div w:id="2001928410">
      <w:bodyDiv w:val="1"/>
      <w:marLeft w:val="0"/>
      <w:marRight w:val="0"/>
      <w:marTop w:val="0"/>
      <w:marBottom w:val="0"/>
      <w:divBdr>
        <w:top w:val="none" w:sz="0" w:space="0" w:color="auto"/>
        <w:left w:val="none" w:sz="0" w:space="0" w:color="auto"/>
        <w:bottom w:val="none" w:sz="0" w:space="0" w:color="auto"/>
        <w:right w:val="none" w:sz="0" w:space="0" w:color="auto"/>
      </w:divBdr>
    </w:div>
    <w:div w:id="2012676702">
      <w:bodyDiv w:val="1"/>
      <w:marLeft w:val="0"/>
      <w:marRight w:val="0"/>
      <w:marTop w:val="0"/>
      <w:marBottom w:val="0"/>
      <w:divBdr>
        <w:top w:val="none" w:sz="0" w:space="0" w:color="auto"/>
        <w:left w:val="none" w:sz="0" w:space="0" w:color="auto"/>
        <w:bottom w:val="none" w:sz="0" w:space="0" w:color="auto"/>
        <w:right w:val="none" w:sz="0" w:space="0" w:color="auto"/>
      </w:divBdr>
    </w:div>
    <w:div w:id="2033410267">
      <w:bodyDiv w:val="1"/>
      <w:marLeft w:val="0"/>
      <w:marRight w:val="0"/>
      <w:marTop w:val="0"/>
      <w:marBottom w:val="0"/>
      <w:divBdr>
        <w:top w:val="none" w:sz="0" w:space="0" w:color="auto"/>
        <w:left w:val="none" w:sz="0" w:space="0" w:color="auto"/>
        <w:bottom w:val="none" w:sz="0" w:space="0" w:color="auto"/>
        <w:right w:val="none" w:sz="0" w:space="0" w:color="auto"/>
      </w:divBdr>
    </w:div>
    <w:div w:id="2044673727">
      <w:bodyDiv w:val="1"/>
      <w:marLeft w:val="0"/>
      <w:marRight w:val="0"/>
      <w:marTop w:val="0"/>
      <w:marBottom w:val="0"/>
      <w:divBdr>
        <w:top w:val="none" w:sz="0" w:space="0" w:color="auto"/>
        <w:left w:val="none" w:sz="0" w:space="0" w:color="auto"/>
        <w:bottom w:val="none" w:sz="0" w:space="0" w:color="auto"/>
        <w:right w:val="none" w:sz="0" w:space="0" w:color="auto"/>
      </w:divBdr>
    </w:div>
    <w:div w:id="2141729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image" Target="media/image11.emf"/><Relationship Id="rId3" Type="http://schemas.openxmlformats.org/officeDocument/2006/relationships/numbering" Target="numbering.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dnerhs.mspbs.gov.py/wp-content/uploads/2025/08/RESOLUCION-S.G.-N%C2%B0-564-2025.pdf" TargetMode="External"/><Relationship Id="rId25"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hyperlink" Target="https://dnerhs.mspbs.gov.py/wp-content/uploads/2025/06/RESOLUCION-S.G.-N%C2%B0-228-2025.pdf" TargetMode="External"/><Relationship Id="rId20" Type="http://schemas.openxmlformats.org/officeDocument/2006/relationships/image" Target="media/image5.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emf"/><Relationship Id="rId5" Type="http://schemas.openxmlformats.org/officeDocument/2006/relationships/settings" Target="settings.xml"/><Relationship Id="rId15" Type="http://schemas.openxmlformats.org/officeDocument/2006/relationships/hyperlink" Target="https://dnerhs.mspbs.gov.py/wp-content/uploads/2025/06/RESOLUCION-S.G.-N%C2%B0-228-2025.pdf" TargetMode="External"/><Relationship Id="rId23" Type="http://schemas.openxmlformats.org/officeDocument/2006/relationships/image" Target="media/image8.emf"/><Relationship Id="rId28" Type="http://schemas.openxmlformats.org/officeDocument/2006/relationships/image" Target="media/image13.emf"/><Relationship Id="rId10" Type="http://schemas.openxmlformats.org/officeDocument/2006/relationships/header" Target="header1.xml"/><Relationship Id="rId19" Type="http://schemas.openxmlformats.org/officeDocument/2006/relationships/image" Target="media/image4.emf"/><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https://www.mspbs.gov.py/dependencias/portal/fotos/3cd069-MINISTERIOSALUDPUBLICAYBIENESTARSOCIALportada.jpg"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https://www.mspbs.gov.py/dependencias/portal/fotos/3cd069-MINISTERIOSALUDPUBLICAYBIENESTARSOCIALportada.jpg"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https://www.mspbs.gov.py/dependencias/portal/fotos/3cd069-MINISTERIOSALUDPUBLICAYBIENESTARSOCIALportada.jpg"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Elemental">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FDEA4BB-AFA5-4B6A-AA0D-CEC45DEF5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39</Pages>
  <Words>13146</Words>
  <Characters>72308</Characters>
  <Application>Microsoft Office Word</Application>
  <DocSecurity>0</DocSecurity>
  <Lines>602</Lines>
  <Paragraphs>170</Paragraphs>
  <ScaleCrop>false</ScaleCrop>
  <HeadingPairs>
    <vt:vector size="2" baseType="variant">
      <vt:variant>
        <vt:lpstr>Título</vt:lpstr>
      </vt:variant>
      <vt:variant>
        <vt:i4>1</vt:i4>
      </vt:variant>
    </vt:vector>
  </HeadingPairs>
  <TitlesOfParts>
    <vt:vector size="1" baseType="lpstr">
      <vt:lpstr>BALANCE ANUAL DE GESTIÓN PÚBLICA</vt:lpstr>
    </vt:vector>
  </TitlesOfParts>
  <Company>Balance Anual de Gestión Pública</Company>
  <LinksUpToDate>false</LinksUpToDate>
  <CharactersWithSpaces>85284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BALANCE ANUAL DE GESTIÓN PÚBLICA</dc:title>
  <dc:subject>Dirección General de Presupuesto</dc:subject>
  <dc:creator>C&amp;M</dc:creator>
  <cp:lastModifiedBy>mariana diaz</cp:lastModifiedBy>
  <cp:revision>28</cp:revision>
  <cp:lastPrinted>2026-01-27T14:31:00Z</cp:lastPrinted>
  <dcterms:created xsi:type="dcterms:W3CDTF">2026-01-24T13:21:00Z</dcterms:created>
  <dcterms:modified xsi:type="dcterms:W3CDTF">2026-01-27T14:33:00Z</dcterms:modified>
</cp:coreProperties>
</file>